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593D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1320" w:firstLineChars="300"/>
        <w:jc w:val="both"/>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区发改局</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年政府信息公开工作</w:t>
      </w:r>
    </w:p>
    <w:p w14:paraId="253C9E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3520" w:firstLineChars="800"/>
        <w:jc w:val="both"/>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年度报告</w:t>
      </w:r>
    </w:p>
    <w:p w14:paraId="1CB185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2560" w:firstLineChars="800"/>
        <w:jc w:val="both"/>
        <w:textAlignment w:val="auto"/>
        <w:rPr>
          <w:rFonts w:hint="eastAsia" w:ascii="仿宋_GB2312" w:hAnsi="仿宋_GB2312" w:eastAsia="仿宋_GB2312" w:cs="仿宋_GB2312"/>
          <w:b w:val="0"/>
          <w:bCs w:val="0"/>
          <w:color w:val="auto"/>
          <w:sz w:val="32"/>
          <w:szCs w:val="32"/>
          <w:lang w:eastAsia="zh-CN"/>
        </w:rPr>
      </w:pPr>
    </w:p>
    <w:p w14:paraId="72DF49C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总体情况</w:t>
      </w:r>
    </w:p>
    <w:p w14:paraId="4D3C48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根据《中华人民共和国政府信息公开条例》要求，特向社会公开20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由西塞山区发展和改革局编制的政府信息公开年度报告。全文包括政府信息主动公开情况；政府信息依申请公开和不予公开情况；行政复议和行政诉讼情况；存在的主要问题和改进情况。本报告中所列数据的统计期限自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年12月31日止。</w:t>
      </w:r>
    </w:p>
    <w:p w14:paraId="23D5C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政府信息主动公开情况：我单位于2024年11月13日依法依规主动公开《湖北西塞山工业园区扩区调区总体规划(2024-2035年)环境影响评价第一次公示》；于2024年11月18日依法依规主动公开《〈</w:t>
      </w:r>
      <w:r>
        <w:rPr>
          <w:rFonts w:hint="eastAsia" w:ascii="仿宋_GB2312" w:hAnsi="仿宋_GB2312" w:eastAsia="仿宋_GB2312" w:cs="仿宋_GB2312"/>
          <w:sz w:val="32"/>
          <w:szCs w:val="32"/>
          <w:lang w:eastAsia="zh-CN"/>
        </w:rPr>
        <w:t>湖北西塞山工业园区扩区调区总体规划（2024-2035年）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草案公示</w:t>
      </w:r>
      <w:r>
        <w:rPr>
          <w:rFonts w:hint="eastAsia" w:ascii="仿宋_GB2312" w:hAnsi="仿宋_GB2312" w:eastAsia="仿宋_GB2312" w:cs="仿宋_GB2312"/>
          <w:sz w:val="32"/>
          <w:szCs w:val="32"/>
          <w:lang w:val="en-US" w:eastAsia="zh-CN"/>
        </w:rPr>
        <w:t>》；于2024年12月16日依法依规主动公开《湖北西塞山工业园区扩区调区总体规划(2024-2035年)环境影响评价第二次公示》；于2024年12月24日依法依规主动公开《〈</w:t>
      </w:r>
      <w:r>
        <w:rPr>
          <w:rFonts w:hint="eastAsia" w:ascii="仿宋_GB2312" w:hAnsi="仿宋_GB2312" w:eastAsia="仿宋_GB2312" w:cs="仿宋_GB2312"/>
          <w:sz w:val="32"/>
          <w:szCs w:val="32"/>
          <w:lang w:eastAsia="zh-CN"/>
        </w:rPr>
        <w:t>湖北西塞山工业园区（扩区调区）产业规划（2024-2035年）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湖北西塞山工业园区化工园“禁限控”目录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公示</w:t>
      </w:r>
      <w:r>
        <w:rPr>
          <w:rFonts w:hint="eastAsia" w:ascii="仿宋_GB2312" w:hAnsi="仿宋_GB2312" w:eastAsia="仿宋_GB2312" w:cs="仿宋_GB2312"/>
          <w:sz w:val="32"/>
          <w:szCs w:val="32"/>
          <w:lang w:val="en-US" w:eastAsia="zh-CN"/>
        </w:rPr>
        <w:t>》；于2024年12月27日依法依规主动公开《中共西塞山区发展和改革局党组关于落实区委巡察组巡察反馈问题整改情况的报告》和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关于第二轮省生态环境保护督察反馈问题（序号8）整改完成情况的公示》。</w:t>
      </w:r>
    </w:p>
    <w:p w14:paraId="6CC79C6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政府信息依申请公开情况：本年度我局未收到</w:t>
      </w:r>
      <w:r>
        <w:rPr>
          <w:rFonts w:hint="eastAsia" w:ascii="仿宋_GB2312" w:hAnsi="仿宋_GB2312" w:eastAsia="仿宋_GB2312" w:cs="仿宋_GB2312"/>
          <w:color w:val="auto"/>
          <w:spacing w:val="-6"/>
          <w:sz w:val="32"/>
          <w:szCs w:val="32"/>
          <w:lang w:val="en-US" w:eastAsia="zh-CN"/>
        </w:rPr>
        <w:t>市民群众申请</w:t>
      </w:r>
      <w:r>
        <w:rPr>
          <w:rFonts w:hint="eastAsia" w:ascii="仿宋_GB2312" w:hAnsi="仿宋_GB2312" w:eastAsia="仿宋_GB2312" w:cs="仿宋_GB2312"/>
          <w:color w:val="auto"/>
          <w:sz w:val="32"/>
          <w:szCs w:val="32"/>
          <w:lang w:val="en-US" w:eastAsia="zh-CN"/>
        </w:rPr>
        <w:t>政府信息公开。</w:t>
      </w:r>
    </w:p>
    <w:p w14:paraId="385F0F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政府信息管理情况：本年度我局未涉及有信息管理情况。</w:t>
      </w:r>
    </w:p>
    <w:p w14:paraId="77A5534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政府信息公开平台建设情况：本年度我局未涉及有公开平台建设情况。</w:t>
      </w:r>
    </w:p>
    <w:p w14:paraId="2FA0DF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监督保障情况：本年度我局未涉及有监督保障情况。</w:t>
      </w:r>
    </w:p>
    <w:p w14:paraId="577F44D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主动公开政府信息情况</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9"/>
        <w:gridCol w:w="2239"/>
        <w:gridCol w:w="2240"/>
        <w:gridCol w:w="2240"/>
      </w:tblGrid>
      <w:tr w14:paraId="60CE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7CD30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1049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C92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8FD2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307AB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0D3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0C74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206E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A569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46A20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9C95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14:paraId="6FDE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BCBF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A23B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781EA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EED2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Calibri" w:hAnsi="Calibri" w:eastAsia="宋体" w:cs="Calibri"/>
                <w:color w:val="auto"/>
                <w:kern w:val="2"/>
                <w:sz w:val="21"/>
                <w:szCs w:val="21"/>
                <w:lang w:val="en-US" w:eastAsia="zh-CN" w:bidi="ar"/>
              </w:rPr>
              <w:t>0</w:t>
            </w:r>
          </w:p>
        </w:tc>
      </w:tr>
      <w:tr w14:paraId="1799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50F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238F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2BF5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729A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2327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C332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6E67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r>
      <w:tr w14:paraId="5246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FFAC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5A8D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4C4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0A29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7C6F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9BC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16B1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r>
      <w:tr w14:paraId="5A33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AD2D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8E8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auto"/>
                <w:sz w:val="21"/>
                <w:szCs w:val="21"/>
                <w:lang w:val="en-US"/>
              </w:rPr>
            </w:pPr>
            <w:r>
              <w:rPr>
                <w:rFonts w:hint="eastAsia" w:ascii="宋体" w:hAnsi="宋体" w:eastAsia="宋体" w:cs="宋体"/>
                <w:color w:val="auto"/>
                <w:kern w:val="0"/>
                <w:sz w:val="21"/>
                <w:szCs w:val="21"/>
                <w:lang w:val="en-US" w:eastAsia="zh-CN" w:bidi="ar"/>
              </w:rPr>
              <w:t>0</w:t>
            </w:r>
          </w:p>
        </w:tc>
      </w:tr>
      <w:tr w14:paraId="7155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29A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4CED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B260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7719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18BF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BD9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123CB3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09492EAA">
      <w:pPr>
        <w:keepNext w:val="0"/>
        <w:keepLines w:val="0"/>
        <w:widowControl/>
        <w:suppressLineNumbers w:val="0"/>
        <w:jc w:val="left"/>
        <w:rPr>
          <w:color w:val="auto"/>
        </w:rPr>
      </w:pPr>
    </w:p>
    <w:p w14:paraId="4DC5152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51007E38">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2024年度我局共接到市民群众申请政府信息公开的事项0件。</w:t>
      </w:r>
    </w:p>
    <w:tbl>
      <w:tblPr>
        <w:tblStyle w:val="4"/>
        <w:tblW w:w="493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1"/>
        <w:gridCol w:w="834"/>
        <w:gridCol w:w="2991"/>
        <w:gridCol w:w="620"/>
        <w:gridCol w:w="639"/>
        <w:gridCol w:w="620"/>
        <w:gridCol w:w="622"/>
        <w:gridCol w:w="622"/>
        <w:gridCol w:w="640"/>
        <w:gridCol w:w="630"/>
      </w:tblGrid>
      <w:tr w14:paraId="1C2B7B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3" w:type="pct"/>
            <w:gridSpan w:val="3"/>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B8DE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color w:val="auto"/>
              </w:rPr>
            </w:pPr>
            <w:bookmarkStart w:id="0" w:name="_GoBack" w:colFirst="0" w:colLast="9"/>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6" w:type="pct"/>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2D9DF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7A86D8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3"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9555F15">
            <w:pPr>
              <w:jc w:val="left"/>
              <w:rPr>
                <w:rFonts w:hint="eastAsia" w:ascii="宋体" w:hAnsi="宋体" w:eastAsia="宋体" w:cs="宋体"/>
                <w:color w:val="auto"/>
                <w:sz w:val="21"/>
                <w:szCs w:val="21"/>
              </w:rPr>
            </w:pP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6B6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6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9464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5CF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4791CE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3"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3993814A">
            <w:pPr>
              <w:jc w:val="left"/>
              <w:rPr>
                <w:rFonts w:hint="eastAsia" w:ascii="宋体" w:hAnsi="宋体" w:eastAsia="宋体" w:cs="宋体"/>
                <w:color w:val="auto"/>
                <w:sz w:val="21"/>
                <w:szCs w:val="21"/>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1C512">
            <w:pPr>
              <w:jc w:val="left"/>
              <w:rPr>
                <w:rFonts w:hint="eastAsia" w:ascii="宋体" w:hAnsi="宋体" w:eastAsia="宋体" w:cs="宋体"/>
                <w:color w:val="auto"/>
                <w:sz w:val="21"/>
                <w:szCs w:val="21"/>
              </w:rPr>
            </w:pP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1A5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34207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7C6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1B90BC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CA4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2F4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79A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E0FD7C">
            <w:pPr>
              <w:jc w:val="left"/>
              <w:rPr>
                <w:rFonts w:hint="eastAsia" w:ascii="宋体" w:hAnsi="宋体" w:eastAsia="宋体" w:cs="宋体"/>
                <w:color w:val="auto"/>
                <w:sz w:val="21"/>
                <w:szCs w:val="21"/>
              </w:rPr>
            </w:pPr>
          </w:p>
        </w:tc>
      </w:tr>
      <w:tr w14:paraId="773F9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1" w:hRule="atLeast"/>
          <w:jc w:val="center"/>
        </w:trPr>
        <w:tc>
          <w:tcPr>
            <w:tcW w:w="253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9C3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0E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C96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0FF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A5C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E5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5C26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0A466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3A22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275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4BA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EE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AF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15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BE0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12C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4B51A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112B7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9DA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4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C8F1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55F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6B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16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41F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67B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EDC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27B35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2915AE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C4DA0A">
            <w:pPr>
              <w:jc w:val="left"/>
              <w:rPr>
                <w:rFonts w:hint="eastAsia" w:asciiTheme="minorEastAsia" w:hAnsiTheme="minorEastAsia" w:eastAsiaTheme="minorEastAsia" w:cstheme="minorEastAsia"/>
                <w:color w:val="auto"/>
                <w:sz w:val="21"/>
                <w:szCs w:val="21"/>
              </w:rPr>
            </w:pPr>
          </w:p>
        </w:tc>
        <w:tc>
          <w:tcPr>
            <w:tcW w:w="214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F407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BE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142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79C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AC4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A7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611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7A52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7D7C1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514E7E">
            <w:pPr>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670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37ECD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D12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8E7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20A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061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647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C43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D9DC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2EFC3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70F306">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F8948C">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20498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AE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22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B14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7AB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5A1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99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2730E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5178CE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3F9C9A">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DAC18F">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1031A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AC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36E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19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9D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CE4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F3BC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C437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39550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F8F96D">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171323">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221E3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1CD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57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29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13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7E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4D2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4FF99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384BDF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C93E85">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F3AA44">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462BC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51C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55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13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C3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D6A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47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69FA1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67DB64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83639">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6D036">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78790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A34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65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E1E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68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62A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29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0C7D4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3E39DB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6DE156">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F59F58">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220CD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7E9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37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63F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EA2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50B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DB70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0EF8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36CA9F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FE3484">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DA31CB">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15A74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87A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E51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D93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8FD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981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3E0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17CF6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758DDB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25EF2C">
            <w:pPr>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FD1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19CAE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062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CEE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B26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82E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2CF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A5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3829E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6A795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C20424">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3B65B0">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37E98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8B7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817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112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87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940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2D0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5BBE5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298B63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D55481">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02F394">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0F4D1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179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F3F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AF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544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76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79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3B98B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15DE48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111BDD">
            <w:pPr>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45C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472F4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348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50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4F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F9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0B5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B7D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41AF7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53895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555C4">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4A816C">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4CB5A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965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40F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DF9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5630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38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9AD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1A35C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0EC6B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BDD0C8">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2494C1">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573810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0C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394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052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216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86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D27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124FA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028185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AC904B">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DC8A6">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top"/>
          </w:tcPr>
          <w:p w14:paraId="6E83B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304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FE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480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4D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674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C4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8067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1DE28F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2BBD99">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20821">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815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FF2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D19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4E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D5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6C1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78C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19447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0"/>
                <w:sz w:val="21"/>
                <w:szCs w:val="21"/>
                <w:lang w:val="en-US" w:eastAsia="zh-CN" w:bidi="ar"/>
              </w:rPr>
            </w:pPr>
          </w:p>
          <w:p w14:paraId="0B72B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210" w:firstLineChars="1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40722E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485BD8">
            <w:pPr>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DDE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2E3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424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187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FF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2D7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1B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C51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2DDA4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0"/>
                <w:sz w:val="21"/>
                <w:szCs w:val="21"/>
                <w:lang w:val="en-US" w:eastAsia="zh-CN" w:bidi="ar"/>
              </w:rPr>
            </w:pPr>
          </w:p>
          <w:p w14:paraId="41B9A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28C88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B2DE63">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02A88">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398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EEF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D65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B24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B13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160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EC2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6852B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0"/>
                <w:sz w:val="21"/>
                <w:szCs w:val="21"/>
                <w:lang w:val="en-US" w:eastAsia="zh-CN" w:bidi="ar"/>
              </w:rPr>
            </w:pPr>
          </w:p>
          <w:p w14:paraId="2308C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5E8861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7B32C7">
            <w:pPr>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CB752D">
            <w:pPr>
              <w:jc w:val="left"/>
              <w:rPr>
                <w:rFonts w:hint="eastAsia" w:asciiTheme="minorEastAsia" w:hAnsiTheme="minorEastAsia" w:eastAsiaTheme="minorEastAsia" w:cstheme="minorEastAsia"/>
                <w:color w:val="auto"/>
                <w:sz w:val="21"/>
                <w:szCs w:val="21"/>
              </w:rPr>
            </w:pP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EB4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4EA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A7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0F9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DA6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3DE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427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79C8B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64E41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FD3B20">
            <w:pPr>
              <w:jc w:val="left"/>
              <w:rPr>
                <w:rFonts w:hint="eastAsia" w:asciiTheme="minorEastAsia" w:hAnsiTheme="minorEastAsia" w:eastAsiaTheme="minorEastAsia" w:cstheme="minorEastAsia"/>
                <w:color w:val="auto"/>
                <w:sz w:val="21"/>
                <w:szCs w:val="21"/>
              </w:rPr>
            </w:pPr>
          </w:p>
        </w:tc>
        <w:tc>
          <w:tcPr>
            <w:tcW w:w="214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CB7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69C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0A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0C9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54D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7DC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268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54734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w:t>
            </w:r>
          </w:p>
        </w:tc>
      </w:tr>
      <w:tr w14:paraId="38A47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9978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CF6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 0</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30B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210" w:firstLineChars="1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0 </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FF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 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9C6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 0</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446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 0</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F1F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210" w:firstLineChars="1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0 </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top"/>
          </w:tcPr>
          <w:p w14:paraId="24F76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 0</w:t>
            </w:r>
          </w:p>
        </w:tc>
      </w:tr>
      <w:bookmarkEnd w:id="0"/>
    </w:tbl>
    <w:p w14:paraId="133CDDC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政府信息公开行政复议、行政诉讼情况</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602"/>
        <w:gridCol w:w="602"/>
        <w:gridCol w:w="602"/>
        <w:gridCol w:w="611"/>
        <w:gridCol w:w="602"/>
        <w:gridCol w:w="602"/>
        <w:gridCol w:w="603"/>
        <w:gridCol w:w="603"/>
        <w:gridCol w:w="609"/>
        <w:gridCol w:w="603"/>
        <w:gridCol w:w="603"/>
        <w:gridCol w:w="603"/>
        <w:gridCol w:w="603"/>
        <w:gridCol w:w="609"/>
      </w:tblGrid>
      <w:tr w14:paraId="4762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9116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7D973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行政诉讼</w:t>
            </w:r>
          </w:p>
        </w:tc>
      </w:tr>
      <w:tr w14:paraId="7A4E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430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FCE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B2A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B33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EA4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6779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52D0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复议后起诉</w:t>
            </w:r>
          </w:p>
        </w:tc>
      </w:tr>
      <w:tr w14:paraId="6A24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7B1911">
            <w:pPr>
              <w:jc w:val="left"/>
              <w:rPr>
                <w:rFonts w:hint="eastAsia" w:ascii="宋体" w:hAnsi="宋体" w:eastAsia="宋体" w:cs="宋体"/>
                <w:color w:val="auto"/>
                <w:sz w:val="21"/>
                <w:szCs w:val="21"/>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1D6F41">
            <w:pPr>
              <w:jc w:val="left"/>
              <w:rPr>
                <w:rFonts w:hint="eastAsia" w:ascii="宋体" w:hAnsi="宋体" w:eastAsia="宋体" w:cs="宋体"/>
                <w:color w:val="auto"/>
                <w:sz w:val="21"/>
                <w:szCs w:val="21"/>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9F6334">
            <w:pPr>
              <w:jc w:val="left"/>
              <w:rPr>
                <w:rFonts w:hint="eastAsia" w:ascii="宋体" w:hAnsi="宋体" w:eastAsia="宋体" w:cs="宋体"/>
                <w:color w:val="auto"/>
                <w:sz w:val="21"/>
                <w:szCs w:val="21"/>
              </w:rPr>
            </w:pPr>
          </w:p>
        </w:tc>
        <w:tc>
          <w:tcPr>
            <w:tcW w:w="3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631F9D">
            <w:pPr>
              <w:jc w:val="left"/>
              <w:rPr>
                <w:rFonts w:hint="eastAsia" w:ascii="宋体" w:hAnsi="宋体" w:eastAsia="宋体" w:cs="宋体"/>
                <w:color w:val="auto"/>
                <w:sz w:val="21"/>
                <w:szCs w:val="21"/>
              </w:rPr>
            </w:pPr>
          </w:p>
        </w:tc>
        <w:tc>
          <w:tcPr>
            <w:tcW w:w="3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CABF8">
            <w:pPr>
              <w:jc w:val="left"/>
              <w:rPr>
                <w:rFonts w:hint="eastAsia" w:ascii="宋体" w:hAnsi="宋体" w:eastAsia="宋体" w:cs="宋体"/>
                <w:color w:val="auto"/>
                <w:sz w:val="21"/>
                <w:szCs w:val="21"/>
              </w:rPr>
            </w:pP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0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8E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23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16D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A1F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511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063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2A8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16F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BC6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r>
      <w:tr w14:paraId="18D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25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300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5B8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587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2"/>
                <w:sz w:val="21"/>
                <w:szCs w:val="21"/>
                <w:lang w:val="en-US" w:eastAsia="zh-CN" w:bidi="ar"/>
              </w:rPr>
              <w:t>0</w:t>
            </w:r>
          </w:p>
        </w:tc>
        <w:tc>
          <w:tcPr>
            <w:tcW w:w="3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F27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A93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kern w:val="2"/>
                <w:sz w:val="21"/>
                <w:szCs w:val="21"/>
                <w:lang w:val="en-US" w:eastAsia="zh-CN" w:bidi="ar"/>
              </w:rPr>
              <w:t>0</w:t>
            </w:r>
          </w:p>
        </w:tc>
        <w:tc>
          <w:tcPr>
            <w:tcW w:w="3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8F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528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110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1B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23B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BE3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9B9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695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kern w:val="2"/>
                <w:sz w:val="21"/>
                <w:szCs w:val="21"/>
                <w:lang w:val="en-US" w:eastAsia="zh-CN" w:bidi="ar"/>
              </w:rPr>
              <w:t>0</w:t>
            </w:r>
          </w:p>
        </w:tc>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554389">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
              </w:rPr>
              <w:t>0</w:t>
            </w:r>
          </w:p>
        </w:tc>
      </w:tr>
    </w:tbl>
    <w:p w14:paraId="333AB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五、存在的主要问题及改进情况</w:t>
      </w:r>
    </w:p>
    <w:p w14:paraId="440EC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政府信息公开范围还未做到全覆盖，还需进一步扩大，公开事项需要进一步细化。下一步，我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将继续扩大公开范围，加强党务信息和政府信息公开，及时更新各种业务信息。</w:t>
      </w:r>
    </w:p>
    <w:p w14:paraId="23A34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党组领导高度重视政府信息公开工作，健全了领导组织机构，强化组织领导，落实具体工作，较好地完成了政府信息工作的目标任务。在今后的工作中，我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将继续加强组织领导，扩大公开范围，加快更新速度，全面落实政府信息公开工作。</w:t>
      </w:r>
    </w:p>
    <w:p w14:paraId="1CC0E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14:paraId="5776A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我单位于2024年7月8日根据政协委员的相关提案，主动公开《</w:t>
      </w:r>
      <w:r>
        <w:rPr>
          <w:rFonts w:hint="eastAsia" w:ascii="仿宋_GB2312" w:hAnsi="仿宋_GB2312" w:eastAsia="仿宋_GB2312" w:cs="仿宋_GB2312"/>
          <w:sz w:val="32"/>
          <w:szCs w:val="32"/>
        </w:rPr>
        <w:t>关于区政协五届三次会议第3号提案的答复</w:t>
      </w:r>
      <w:r>
        <w:rPr>
          <w:rFonts w:hint="eastAsia" w:ascii="仿宋_GB2312" w:hAnsi="仿宋_GB2312" w:eastAsia="仿宋_GB2312" w:cs="仿宋_GB2312"/>
          <w:sz w:val="32"/>
          <w:szCs w:val="32"/>
          <w:lang w:val="en-US" w:eastAsia="zh-CN"/>
        </w:rPr>
        <w:t>》和《关于区政协五届三次会议第9号提案的答复》。</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5F911E-7F49-491A-92B5-F4A181865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F39012-DB52-4466-9106-80A4EC9405F7}"/>
  </w:font>
  <w:font w:name="方正小标宋简体">
    <w:panose1 w:val="02000000000000000000"/>
    <w:charset w:val="86"/>
    <w:family w:val="auto"/>
    <w:pitch w:val="default"/>
    <w:sig w:usb0="00000001" w:usb1="080E0000" w:usb2="00000000" w:usb3="00000000" w:csb0="00040000" w:csb1="00000000"/>
    <w:embedRegular r:id="rId3" w:fontKey="{E885B990-CC18-4022-9061-A45A8CD53E6A}"/>
  </w:font>
  <w:font w:name="仿宋_GB2312">
    <w:panose1 w:val="02010609030101010101"/>
    <w:charset w:val="86"/>
    <w:family w:val="modern"/>
    <w:pitch w:val="default"/>
    <w:sig w:usb0="00000001" w:usb1="080E0000" w:usb2="00000000" w:usb3="00000000" w:csb0="00040000" w:csb1="00000000"/>
    <w:embedRegular r:id="rId4" w:fontKey="{8DBFACC9-5D91-4C42-A7F1-520A7946E52D}"/>
  </w:font>
  <w:font w:name="仿宋">
    <w:panose1 w:val="02010609060101010101"/>
    <w:charset w:val="86"/>
    <w:family w:val="auto"/>
    <w:pitch w:val="default"/>
    <w:sig w:usb0="800002BF" w:usb1="38CF7CFA" w:usb2="00000016" w:usb3="00000000" w:csb0="00040001" w:csb1="00000000"/>
    <w:embedRegular r:id="rId5" w:fontKey="{83901AB2-4A93-4F81-BEAD-E760CFFC8C51}"/>
  </w:font>
  <w:font w:name="楷体">
    <w:panose1 w:val="02010609060101010101"/>
    <w:charset w:val="86"/>
    <w:family w:val="auto"/>
    <w:pitch w:val="default"/>
    <w:sig w:usb0="800002BF" w:usb1="38CF7CFA" w:usb2="00000016" w:usb3="00000000" w:csb0="00040001" w:csb1="00000000"/>
    <w:embedRegular r:id="rId6" w:fontKey="{53E78070-9F04-4496-844E-3CD943A267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238B1E27"/>
    <w:rsid w:val="01141165"/>
    <w:rsid w:val="028F2F69"/>
    <w:rsid w:val="037C7D1A"/>
    <w:rsid w:val="052508AC"/>
    <w:rsid w:val="057D6663"/>
    <w:rsid w:val="09D73678"/>
    <w:rsid w:val="09E519BD"/>
    <w:rsid w:val="0A4800D1"/>
    <w:rsid w:val="0E6E341B"/>
    <w:rsid w:val="15795A6A"/>
    <w:rsid w:val="18E82124"/>
    <w:rsid w:val="19177D9F"/>
    <w:rsid w:val="1A100AAC"/>
    <w:rsid w:val="1B4C3E3B"/>
    <w:rsid w:val="1BD2154C"/>
    <w:rsid w:val="1CCF26FC"/>
    <w:rsid w:val="1D4D5CD3"/>
    <w:rsid w:val="238B1E27"/>
    <w:rsid w:val="246E2621"/>
    <w:rsid w:val="298C5F26"/>
    <w:rsid w:val="30632DB7"/>
    <w:rsid w:val="35EC254E"/>
    <w:rsid w:val="380214FF"/>
    <w:rsid w:val="397119C0"/>
    <w:rsid w:val="3CD4741F"/>
    <w:rsid w:val="43EC5A68"/>
    <w:rsid w:val="47BE4310"/>
    <w:rsid w:val="531225F7"/>
    <w:rsid w:val="577259ED"/>
    <w:rsid w:val="58474442"/>
    <w:rsid w:val="595B6559"/>
    <w:rsid w:val="5D0B07E3"/>
    <w:rsid w:val="5F926F9A"/>
    <w:rsid w:val="615F79FF"/>
    <w:rsid w:val="623F1255"/>
    <w:rsid w:val="64E04304"/>
    <w:rsid w:val="65096446"/>
    <w:rsid w:val="66DD4F9F"/>
    <w:rsid w:val="6B9E091B"/>
    <w:rsid w:val="6CC702A6"/>
    <w:rsid w:val="71DD5EBE"/>
    <w:rsid w:val="71F81B46"/>
    <w:rsid w:val="79FB1236"/>
    <w:rsid w:val="7D14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1897</Characters>
  <Lines>0</Lines>
  <Paragraphs>0</Paragraphs>
  <TotalTime>16</TotalTime>
  <ScaleCrop>false</ScaleCrop>
  <LinksUpToDate>false</LinksUpToDate>
  <CharactersWithSpaces>1904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cff</cp:lastModifiedBy>
  <dcterms:modified xsi:type="dcterms:W3CDTF">2025-01-10T03:28:47Z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777F53E91E564B3B96F5A1A435D08748</vt:lpwstr>
  </property>
  <property fmtid="{D5CDD505-2E9C-101B-9397-08002B2CF9AE}" pid="4" name="KSOTemplateDocerSaveRecord">
    <vt:lpwstr>eyJoZGlkIjoiZWYwYjIzNmRiNTVkYTFkZDBmNThmNGQ5ZGM1ZTkyMzciLCJ1c2VySWQiOiI0OTM5MjExMzMifQ==</vt:lpwstr>
  </property>
</Properties>
</file>