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西塞山区城市管理执法局</w:t>
      </w:r>
    </w:p>
    <w:p>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3</w:t>
      </w:r>
      <w:r>
        <w:rPr>
          <w:rFonts w:hint="eastAsia" w:ascii="方正小标宋简体" w:hAnsi="方正小标宋简体" w:eastAsia="方正小标宋简体" w:cs="方正小标宋简体"/>
          <w:b w:val="0"/>
          <w:bCs w:val="0"/>
          <w:color w:val="auto"/>
          <w:sz w:val="44"/>
          <w:szCs w:val="44"/>
        </w:rPr>
        <w:t>年政府信息公开工作年度报告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，在区委区政府的正确领导下，</w:t>
      </w:r>
      <w:r>
        <w:rPr>
          <w:rFonts w:hint="eastAsia" w:ascii="仿宋_GB2312" w:hAnsi="仿宋_GB2312" w:eastAsia="仿宋_GB2312" w:cs="仿宋_GB2312"/>
          <w:color w:val="auto"/>
          <w:sz w:val="32"/>
          <w:szCs w:val="32"/>
        </w:rPr>
        <w:t>西塞山区城市管理执法局按照《中华人民共和国政府信息公开条例》</w:t>
      </w:r>
      <w:r>
        <w:rPr>
          <w:rFonts w:hint="eastAsia" w:ascii="仿宋_GB2312" w:hAnsi="仿宋_GB2312" w:eastAsia="仿宋_GB2312" w:cs="仿宋_GB2312"/>
          <w:color w:val="auto"/>
          <w:sz w:val="32"/>
          <w:szCs w:val="32"/>
          <w:lang w:eastAsia="zh-CN"/>
        </w:rPr>
        <w:t>的相关</w:t>
      </w:r>
      <w:r>
        <w:rPr>
          <w:rFonts w:hint="eastAsia" w:ascii="仿宋_GB2312" w:hAnsi="仿宋_GB2312" w:eastAsia="仿宋_GB2312" w:cs="仿宋_GB2312"/>
          <w:color w:val="auto"/>
          <w:sz w:val="32"/>
          <w:szCs w:val="32"/>
        </w:rPr>
        <w:t>要求，对照</w:t>
      </w:r>
      <w:r>
        <w:rPr>
          <w:rFonts w:hint="eastAsia" w:ascii="仿宋_GB2312" w:hAnsi="仿宋_GB2312" w:eastAsia="仿宋_GB2312" w:cs="仿宋_GB2312"/>
          <w:color w:val="auto"/>
          <w:sz w:val="32"/>
          <w:szCs w:val="32"/>
          <w:lang w:eastAsia="zh-CN"/>
        </w:rPr>
        <w:t>政府信息</w:t>
      </w:r>
      <w:r>
        <w:rPr>
          <w:rFonts w:hint="eastAsia" w:ascii="仿宋_GB2312" w:hAnsi="仿宋_GB2312" w:eastAsia="仿宋_GB2312" w:cs="仿宋_GB2312"/>
          <w:color w:val="auto"/>
          <w:sz w:val="32"/>
          <w:szCs w:val="32"/>
        </w:rPr>
        <w:t>公开工作要点，围绕</w:t>
      </w:r>
      <w:r>
        <w:rPr>
          <w:rFonts w:hint="eastAsia" w:ascii="仿宋_GB2312" w:hAnsi="仿宋_GB2312" w:eastAsia="仿宋_GB2312" w:cs="仿宋_GB2312"/>
          <w:color w:val="auto"/>
          <w:sz w:val="32"/>
          <w:szCs w:val="32"/>
          <w:lang w:eastAsia="zh-CN"/>
        </w:rPr>
        <w:t>城市管理</w:t>
      </w:r>
      <w:r>
        <w:rPr>
          <w:rFonts w:hint="eastAsia" w:ascii="仿宋_GB2312" w:hAnsi="仿宋_GB2312" w:eastAsia="仿宋_GB2312" w:cs="仿宋_GB2312"/>
          <w:color w:val="auto"/>
          <w:sz w:val="32"/>
          <w:szCs w:val="32"/>
        </w:rPr>
        <w:t>工作实际，</w:t>
      </w:r>
      <w:r>
        <w:rPr>
          <w:rFonts w:hint="eastAsia" w:ascii="仿宋_GB2312" w:hAnsi="仿宋_GB2312" w:eastAsia="仿宋_GB2312" w:cs="仿宋_GB2312"/>
          <w:color w:val="auto"/>
          <w:sz w:val="32"/>
          <w:szCs w:val="32"/>
          <w:lang w:val="en-US" w:eastAsia="zh-CN"/>
        </w:rPr>
        <w:t>编制并公开2023年政府信息公开工作年度报告。本年度报告中所列数据的统计期限自2023年1月1日起，至2023年12月31日止。</w:t>
      </w:r>
    </w:p>
    <w:p>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color w:val="auto"/>
        </w:rPr>
      </w:pPr>
      <w:r>
        <w:rPr>
          <w:rFonts w:ascii="黑体" w:hAnsi="宋体" w:eastAsia="黑体" w:cs="黑体"/>
          <w:i w:val="0"/>
          <w:iCs w:val="0"/>
          <w:caps w:val="0"/>
          <w:color w:val="auto"/>
          <w:spacing w:val="0"/>
          <w:kern w:val="0"/>
          <w:sz w:val="32"/>
          <w:szCs w:val="32"/>
          <w:shd w:val="clear" w:fill="FFFFFF"/>
          <w:lang w:val="en-US" w:eastAsia="zh-CN" w:bidi="ar"/>
        </w:rPr>
        <w:t>一、</w:t>
      </w:r>
      <w:r>
        <w:rPr>
          <w:rFonts w:hint="default" w:ascii="黑体" w:hAnsi="宋体" w:eastAsia="黑体" w:cs="黑体"/>
          <w:i w:val="0"/>
          <w:iCs w:val="0"/>
          <w:caps w:val="0"/>
          <w:color w:val="auto"/>
          <w:spacing w:val="0"/>
          <w:kern w:val="0"/>
          <w:sz w:val="32"/>
          <w:szCs w:val="32"/>
          <w:shd w:val="clear" w:fill="FFFFFF"/>
          <w:lang w:val="en-US" w:eastAsia="zh-CN" w:bidi="ar"/>
        </w:rPr>
        <w:t>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区城管局丰富公开内容，突出公开重点，认真开展政府信息公开工作。结合工作实际，完善法定主动公开内容，及时发布公开信息，切实加大主动公开力度。聚焦重点领域，围绕行政权力事项做好行政处罚、行政许可、行政检查等信息的公开，切实提升主动公开实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ascii="楷体_GB2312" w:hAnsi="微软雅黑" w:eastAsia="楷体_GB2312" w:cs="楷体_GB2312"/>
          <w:i w:val="0"/>
          <w:iCs w:val="0"/>
          <w:caps w:val="0"/>
          <w:color w:val="auto"/>
          <w:spacing w:val="0"/>
          <w:sz w:val="32"/>
          <w:szCs w:val="32"/>
          <w:shd w:val="clear" w:fill="FFFFFF"/>
        </w:rPr>
        <w:t>（一）</w:t>
      </w:r>
      <w:r>
        <w:rPr>
          <w:rFonts w:hint="eastAsia" w:ascii="楷体_GB2312" w:hAnsi="微软雅黑" w:eastAsia="楷体_GB2312" w:cs="楷体_GB2312"/>
          <w:i w:val="0"/>
          <w:iCs w:val="0"/>
          <w:caps w:val="0"/>
          <w:color w:val="auto"/>
          <w:spacing w:val="0"/>
          <w:sz w:val="32"/>
          <w:szCs w:val="32"/>
          <w:shd w:val="clear" w:fill="FFFFFF"/>
        </w:rPr>
        <w:t>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微软雅黑" w:hAnsi="微软雅黑" w:eastAsia="微软雅黑" w:cs="微软雅黑"/>
          <w:i w:val="0"/>
          <w:iCs w:val="0"/>
          <w:caps w:val="0"/>
          <w:color w:val="auto"/>
          <w:spacing w:val="0"/>
          <w:sz w:val="21"/>
          <w:szCs w:val="21"/>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在区政府网站公示了</w:t>
      </w:r>
      <w:r>
        <w:rPr>
          <w:rFonts w:hint="eastAsia" w:ascii="仿宋_GB2312" w:hAnsi="仿宋_GB2312" w:eastAsia="仿宋_GB2312" w:cs="仿宋_GB2312"/>
          <w:color w:val="auto"/>
          <w:sz w:val="32"/>
          <w:szCs w:val="32"/>
          <w:lang w:eastAsia="zh-CN"/>
        </w:rPr>
        <w:t>区城管局</w:t>
      </w:r>
      <w:r>
        <w:rPr>
          <w:rFonts w:hint="eastAsia" w:ascii="仿宋_GB2312" w:hAnsi="仿宋_GB2312" w:eastAsia="仿宋_GB2312" w:cs="仿宋_GB2312"/>
          <w:color w:val="auto"/>
          <w:sz w:val="32"/>
          <w:szCs w:val="32"/>
        </w:rPr>
        <w:t>行政许可</w:t>
      </w:r>
      <w:r>
        <w:rPr>
          <w:rFonts w:hint="eastAsia" w:ascii="仿宋_GB2312" w:hAnsi="仿宋_GB2312" w:eastAsia="仿宋_GB2312" w:cs="仿宋_GB2312"/>
          <w:color w:val="auto"/>
          <w:sz w:val="32"/>
          <w:szCs w:val="32"/>
          <w:lang w:eastAsia="zh-CN"/>
        </w:rPr>
        <w:t>事项、</w:t>
      </w:r>
      <w:r>
        <w:rPr>
          <w:rFonts w:hint="eastAsia" w:ascii="仿宋_GB2312" w:hAnsi="仿宋_GB2312" w:eastAsia="仿宋_GB2312" w:cs="仿宋_GB2312"/>
          <w:color w:val="auto"/>
          <w:sz w:val="32"/>
          <w:szCs w:val="32"/>
        </w:rPr>
        <w:t>流程、</w:t>
      </w:r>
      <w:r>
        <w:rPr>
          <w:rFonts w:hint="eastAsia" w:ascii="仿宋_GB2312" w:hAnsi="仿宋_GB2312" w:eastAsia="仿宋_GB2312" w:cs="仿宋_GB2312"/>
          <w:color w:val="auto"/>
          <w:sz w:val="32"/>
          <w:szCs w:val="32"/>
          <w:lang w:eastAsia="zh-CN"/>
        </w:rPr>
        <w:t>所需提供的</w:t>
      </w:r>
      <w:r>
        <w:rPr>
          <w:rFonts w:hint="eastAsia" w:ascii="仿宋_GB2312" w:hAnsi="仿宋_GB2312" w:eastAsia="仿宋_GB2312" w:cs="仿宋_GB2312"/>
          <w:color w:val="auto"/>
          <w:sz w:val="32"/>
          <w:szCs w:val="32"/>
        </w:rPr>
        <w:t>资料</w:t>
      </w:r>
      <w:r>
        <w:rPr>
          <w:rFonts w:hint="eastAsia" w:ascii="仿宋_GB2312" w:hAnsi="仿宋_GB2312" w:eastAsia="仿宋_GB2312" w:cs="仿宋_GB2312"/>
          <w:color w:val="auto"/>
          <w:sz w:val="32"/>
          <w:szCs w:val="32"/>
          <w:lang w:eastAsia="zh-CN"/>
        </w:rPr>
        <w:t>、法律依据、</w:t>
      </w:r>
      <w:r>
        <w:rPr>
          <w:rFonts w:hint="eastAsia" w:ascii="仿宋_GB2312" w:hAnsi="仿宋_GB2312" w:eastAsia="仿宋_GB2312" w:cs="仿宋_GB2312"/>
          <w:color w:val="auto"/>
          <w:sz w:val="32"/>
          <w:szCs w:val="32"/>
        </w:rPr>
        <w:t>工作人员岗位工作信息</w:t>
      </w:r>
      <w:r>
        <w:rPr>
          <w:rFonts w:hint="eastAsia" w:ascii="仿宋_GB2312" w:hAnsi="仿宋_GB2312" w:eastAsia="仿宋_GB2312" w:cs="仿宋_GB2312"/>
          <w:color w:val="auto"/>
          <w:sz w:val="32"/>
          <w:szCs w:val="32"/>
          <w:lang w:eastAsia="zh-CN"/>
        </w:rPr>
        <w:t>，行政处罚权责清单</w:t>
      </w:r>
      <w:r>
        <w:rPr>
          <w:rFonts w:hint="eastAsia" w:ascii="仿宋_GB2312" w:hAnsi="仿宋_GB2312" w:eastAsia="仿宋_GB2312" w:cs="仿宋_GB2312"/>
          <w:color w:val="auto"/>
          <w:sz w:val="32"/>
          <w:szCs w:val="32"/>
        </w:rPr>
        <w:t>以及“双随机、一公开”事项清单、依据、程序等；</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lang w:eastAsia="zh-CN"/>
        </w:rPr>
        <w:t>区城管局</w:t>
      </w:r>
      <w:r>
        <w:rPr>
          <w:rFonts w:hint="eastAsia" w:ascii="仿宋_GB2312" w:hAnsi="仿宋_GB2312" w:eastAsia="仿宋_GB2312" w:cs="仿宋_GB2312"/>
          <w:color w:val="auto"/>
          <w:sz w:val="32"/>
          <w:szCs w:val="32"/>
        </w:rPr>
        <w:t>定期在</w:t>
      </w:r>
      <w:r>
        <w:rPr>
          <w:rFonts w:hint="eastAsia" w:ascii="仿宋_GB2312" w:hAnsi="仿宋_GB2312" w:eastAsia="仿宋_GB2312" w:cs="仿宋_GB2312"/>
          <w:color w:val="auto"/>
          <w:sz w:val="32"/>
          <w:szCs w:val="32"/>
          <w:lang w:eastAsia="zh-CN"/>
        </w:rPr>
        <w:t>全国信用信息共享平台</w:t>
      </w:r>
      <w:r>
        <w:rPr>
          <w:rFonts w:hint="eastAsia" w:ascii="仿宋_GB2312" w:hAnsi="仿宋_GB2312" w:eastAsia="仿宋_GB2312" w:cs="仿宋_GB2312"/>
          <w:color w:val="auto"/>
          <w:sz w:val="32"/>
          <w:szCs w:val="32"/>
        </w:rPr>
        <w:t>公示行政许可事项和行政处罚情况，</w:t>
      </w:r>
      <w:r>
        <w:rPr>
          <w:rFonts w:hint="eastAsia" w:ascii="仿宋_GB2312" w:hAnsi="仿宋_GB2312" w:eastAsia="仿宋_GB2312" w:cs="仿宋_GB2312"/>
          <w:color w:val="auto"/>
          <w:sz w:val="32"/>
          <w:szCs w:val="32"/>
          <w:lang w:eastAsia="zh-CN"/>
        </w:rPr>
        <w:t>自觉</w:t>
      </w:r>
      <w:r>
        <w:rPr>
          <w:rFonts w:hint="eastAsia" w:ascii="仿宋_GB2312" w:hAnsi="仿宋_GB2312" w:eastAsia="仿宋_GB2312" w:cs="仿宋_GB2312"/>
          <w:color w:val="auto"/>
          <w:sz w:val="32"/>
          <w:szCs w:val="32"/>
        </w:rPr>
        <w:t>接受群众监督。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楷体_GB2312" w:hAnsi="微软雅黑" w:eastAsia="楷体_GB2312" w:cs="楷体_GB2312"/>
          <w:i w:val="0"/>
          <w:iCs w:val="0"/>
          <w:caps w:val="0"/>
          <w:color w:val="auto"/>
          <w:spacing w:val="0"/>
          <w:sz w:val="32"/>
          <w:szCs w:val="32"/>
          <w:shd w:val="clear" w:fill="FFFFFF"/>
        </w:rPr>
        <w:t>（二）依申请公开情况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区城管局2023年度未收到群众政府信息公开申请。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楷体_GB2312" w:hAnsi="微软雅黑" w:eastAsia="楷体_GB2312" w:cs="楷体_GB2312"/>
          <w:i w:val="0"/>
          <w:iCs w:val="0"/>
          <w:caps w:val="0"/>
          <w:color w:val="auto"/>
          <w:spacing w:val="0"/>
          <w:sz w:val="32"/>
          <w:szCs w:val="32"/>
          <w:shd w:val="clear" w:fill="FFFFFF"/>
        </w:rPr>
        <w:t>（三）政府信息管理情况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经常组织政务公开工作人员向区政数局工作人员学习政务公开工作新要求、新方法，不断提高相关人员的政策把握能力、信息公开工作水平；办公室工作人员对公开信息进行严格把关，经区委、区政府、局机关领导审核，确保公开信息不涉密，涉密信息不公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楷体_GB2312" w:hAnsi="微软雅黑" w:eastAsia="楷体_GB2312" w:cs="楷体_GB2312"/>
          <w:i w:val="0"/>
          <w:iCs w:val="0"/>
          <w:caps w:val="0"/>
          <w:color w:val="auto"/>
          <w:spacing w:val="0"/>
          <w:sz w:val="32"/>
          <w:szCs w:val="32"/>
          <w:shd w:val="clear" w:fill="FFFFFF"/>
        </w:rPr>
        <w:t>（四）政府信息公开平台建设情况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区城管局按照区政府要求在区政府信息公开专栏公开信息。同时利用信息化手段丰富信息公开形式，拓宽信息公开渠道，积极在全景西塞、黄石日报等平台投稿，加大宣传力度，营造良好氛围。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微软雅黑" w:hAnsi="微软雅黑" w:eastAsia="微软雅黑" w:cs="微软雅黑"/>
          <w:i w:val="0"/>
          <w:iCs w:val="0"/>
          <w:caps w:val="0"/>
          <w:color w:val="auto"/>
          <w:spacing w:val="0"/>
          <w:sz w:val="21"/>
          <w:szCs w:val="21"/>
        </w:rPr>
      </w:pPr>
      <w:r>
        <w:rPr>
          <w:rFonts w:hint="eastAsia" w:ascii="楷体_GB2312" w:hAnsi="微软雅黑" w:eastAsia="楷体_GB2312" w:cs="楷体_GB2312"/>
          <w:i w:val="0"/>
          <w:iCs w:val="0"/>
          <w:caps w:val="0"/>
          <w:color w:val="auto"/>
          <w:spacing w:val="0"/>
          <w:sz w:val="32"/>
          <w:szCs w:val="32"/>
          <w:shd w:val="clear" w:fill="FFFFFF"/>
        </w:rPr>
        <w:t>（五）监督保障情况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微软雅黑" w:eastAsia="仿宋_GB2312" w:cs="仿宋_GB2312"/>
          <w:i w:val="0"/>
          <w:iCs w:val="0"/>
          <w:caps w:val="0"/>
          <w:color w:val="auto"/>
          <w:spacing w:val="0"/>
          <w:kern w:val="0"/>
          <w:sz w:val="32"/>
          <w:szCs w:val="32"/>
          <w:shd w:val="clear" w:fill="FFFFFF"/>
          <w:lang w:val="en-US" w:eastAsia="zh-CN" w:bidi="ar"/>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本年度未涉及监督保障情况。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二、主动公开政府信息情况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2023年，在全国信用信息共享平台公开行政许可186例、行政处罚27例。</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2239"/>
        <w:gridCol w:w="2239"/>
        <w:gridCol w:w="2240"/>
        <w:gridCol w:w="2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4"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8" w:space="0"/>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4"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default" w:eastAsia="宋体"/>
                <w:color w:val="auto"/>
                <w:sz w:val="21"/>
                <w:szCs w:val="21"/>
                <w:lang w:val="en-US" w:eastAsia="zh-CN"/>
              </w:rPr>
            </w:pPr>
            <w:r>
              <w:rPr>
                <w:rFonts w:hint="eastAsia"/>
                <w:color w:val="auto"/>
                <w:sz w:val="21"/>
                <w:szCs w:val="21"/>
                <w:lang w:val="en-US" w:eastAsia="zh-CN"/>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default" w:eastAsia="宋体"/>
                <w:color w:val="auto"/>
                <w:sz w:val="21"/>
                <w:szCs w:val="21"/>
                <w:lang w:val="en-US" w:eastAsia="zh-CN"/>
              </w:rPr>
            </w:pPr>
            <w:r>
              <w:rPr>
                <w:rFonts w:hint="eastAsia"/>
                <w:color w:val="auto"/>
                <w:sz w:val="21"/>
                <w:szCs w:val="21"/>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center"/>
              <w:textAlignment w:val="auto"/>
              <w:rPr>
                <w:rFonts w:hint="default" w:ascii="宋体" w:hAnsi="宋体" w:eastAsia="宋体" w:cs="宋体"/>
                <w:color w:val="auto"/>
                <w:sz w:val="21"/>
                <w:szCs w:val="21"/>
                <w:lang w:val="en-US" w:eastAsia="zh-CN"/>
              </w:rPr>
            </w:pPr>
            <w:r>
              <w:rPr>
                <w:rFonts w:hint="eastAsia" w:eastAsia="宋体"/>
                <w:color w:val="auto"/>
                <w:sz w:val="21"/>
                <w:szCs w:val="21"/>
                <w:lang w:val="en-US" w:eastAsia="zh-CN"/>
              </w:rPr>
              <w:t>0</w:t>
            </w: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tbl>
      <w:tblPr>
        <w:tblStyle w:val="9"/>
        <w:tblW w:w="480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946"/>
        <w:gridCol w:w="1157"/>
        <w:gridCol w:w="1893"/>
        <w:gridCol w:w="660"/>
        <w:gridCol w:w="660"/>
        <w:gridCol w:w="661"/>
        <w:gridCol w:w="665"/>
        <w:gridCol w:w="665"/>
        <w:gridCol w:w="674"/>
        <w:gridCol w:w="6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308"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color w:val="auto"/>
              </w:rPr>
            </w:pPr>
            <w:r>
              <w:rPr>
                <w:rFonts w:hint="eastAsia" w:ascii="楷体" w:hAnsi="楷体" w:eastAsia="楷体" w:cs="楷体"/>
                <w:color w:val="auto"/>
                <w:kern w:val="0"/>
                <w:sz w:val="22"/>
                <w:szCs w:val="22"/>
                <w:lang w:val="en-US" w:eastAsia="zh-CN" w:bidi="ar"/>
              </w:rPr>
              <w:t>（本列数据的勾稽关系为：第一项加第二项之和，等于第三项加第四项之和）</w:t>
            </w:r>
          </w:p>
        </w:tc>
        <w:tc>
          <w:tcPr>
            <w:tcW w:w="2691"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30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81" w:type="pct"/>
            <w:vMerge w:val="restar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920"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89"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662" w:hRule="atLeast"/>
          <w:jc w:val="center"/>
        </w:trPr>
        <w:tc>
          <w:tcPr>
            <w:tcW w:w="230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81" w:type="pct"/>
            <w:vMerge w:val="continue"/>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8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84"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84"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8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89" w:type="pct"/>
            <w:vMerge w:val="continue"/>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508" w:hRule="atLeast"/>
          <w:jc w:val="center"/>
        </w:trPr>
        <w:tc>
          <w:tcPr>
            <w:tcW w:w="2308"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450" w:hRule="atLeast"/>
          <w:jc w:val="center"/>
        </w:trPr>
        <w:tc>
          <w:tcPr>
            <w:tcW w:w="2308" w:type="pct"/>
            <w:gridSpan w:val="3"/>
            <w:tcBorders>
              <w:top w:val="nil"/>
              <w:left w:val="single" w:color="auto" w:sz="8" w:space="0"/>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38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4"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7"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9"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90" w:hRule="atLeast"/>
          <w:jc w:val="center"/>
        </w:trPr>
        <w:tc>
          <w:tcPr>
            <w:tcW w:w="5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17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015" w:hRule="atLeast"/>
          <w:jc w:val="center"/>
        </w:trPr>
        <w:tc>
          <w:tcPr>
            <w:tcW w:w="5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7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1535" w:hRule="atLeast"/>
          <w:jc w:val="center"/>
        </w:trPr>
        <w:tc>
          <w:tcPr>
            <w:tcW w:w="547" w:type="pct"/>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092" w:type="pct"/>
            <w:tcBorders>
              <w:top w:val="single" w:color="auto" w:sz="4" w:space="0"/>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38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2"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4"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4"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7"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89"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1222" w:hRule="atLeast"/>
          <w:jc w:val="center"/>
        </w:trPr>
        <w:tc>
          <w:tcPr>
            <w:tcW w:w="547" w:type="pct"/>
            <w:vMerge w:val="restart"/>
            <w:tcBorders>
              <w:top w:val="single" w:color="auto" w:sz="4" w:space="0"/>
              <w:left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668" w:type="pct"/>
            <w:vMerge w:val="restart"/>
            <w:tcBorders>
              <w:top w:val="single" w:color="auto" w:sz="4" w:space="0"/>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547"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continue"/>
            <w:tcBorders>
              <w:top w:val="nil"/>
              <w:left w:val="nil"/>
              <w:bottom w:val="outset" w:color="auto" w:sz="6"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2" w:type="pct"/>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38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547"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2"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38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547"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1210" w:hRule="atLeast"/>
          <w:jc w:val="center"/>
        </w:trPr>
        <w:tc>
          <w:tcPr>
            <w:tcW w:w="547"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4" w:hRule="atLeast"/>
          <w:jc w:val="center"/>
        </w:trPr>
        <w:tc>
          <w:tcPr>
            <w:tcW w:w="547"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57" w:hRule="atLeast"/>
          <w:jc w:val="center"/>
        </w:trPr>
        <w:tc>
          <w:tcPr>
            <w:tcW w:w="547"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300" w:hRule="atLeast"/>
          <w:jc w:val="center"/>
        </w:trPr>
        <w:tc>
          <w:tcPr>
            <w:tcW w:w="547"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09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441" w:hRule="atLeast"/>
          <w:jc w:val="center"/>
        </w:trPr>
        <w:tc>
          <w:tcPr>
            <w:tcW w:w="547"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2"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1261" w:hRule="atLeast"/>
          <w:jc w:val="center"/>
        </w:trPr>
        <w:tc>
          <w:tcPr>
            <w:tcW w:w="547" w:type="pct"/>
            <w:vMerge w:val="continue"/>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continue"/>
            <w:tcBorders>
              <w:top w:val="nil"/>
              <w:left w:val="nil"/>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2" w:type="pct"/>
            <w:tcBorders>
              <w:top w:val="nil"/>
              <w:left w:val="nil"/>
              <w:bottom w:val="single" w:color="auto" w:sz="4"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38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5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6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838" w:hRule="atLeast"/>
          <w:jc w:val="center"/>
        </w:trPr>
        <w:tc>
          <w:tcPr>
            <w:tcW w:w="5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1262" w:hRule="atLeast"/>
          <w:jc w:val="center"/>
        </w:trPr>
        <w:tc>
          <w:tcPr>
            <w:tcW w:w="5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1621" w:hRule="atLeast"/>
          <w:jc w:val="center"/>
        </w:trPr>
        <w:tc>
          <w:tcPr>
            <w:tcW w:w="5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1822" w:hRule="atLeast"/>
          <w:jc w:val="center"/>
        </w:trPr>
        <w:tc>
          <w:tcPr>
            <w:tcW w:w="5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2365" w:hRule="atLeast"/>
          <w:jc w:val="center"/>
        </w:trPr>
        <w:tc>
          <w:tcPr>
            <w:tcW w:w="5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2862" w:hRule="atLeast"/>
          <w:jc w:val="center"/>
        </w:trPr>
        <w:tc>
          <w:tcPr>
            <w:tcW w:w="5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631" w:hRule="atLeast"/>
          <w:jc w:val="center"/>
        </w:trPr>
        <w:tc>
          <w:tcPr>
            <w:tcW w:w="5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6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5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Theme="minorEastAsia" w:hAnsiTheme="minorEastAsia" w:eastAsiaTheme="minorEastAsia" w:cstheme="minorEastAsia"/>
                <w:color w:val="auto"/>
                <w:sz w:val="21"/>
                <w:szCs w:val="21"/>
              </w:rPr>
            </w:pPr>
          </w:p>
        </w:tc>
        <w:tc>
          <w:tcPr>
            <w:tcW w:w="17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3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2023年度，无政府信息公开行政复议、行政诉讼情况。</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0"/>
        <w:gridCol w:w="600"/>
        <w:gridCol w:w="600"/>
        <w:gridCol w:w="600"/>
        <w:gridCol w:w="616"/>
        <w:gridCol w:w="600"/>
        <w:gridCol w:w="600"/>
        <w:gridCol w:w="601"/>
        <w:gridCol w:w="601"/>
        <w:gridCol w:w="614"/>
        <w:gridCol w:w="601"/>
        <w:gridCol w:w="601"/>
        <w:gridCol w:w="603"/>
        <w:gridCol w:w="603"/>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00" w:firstLineChars="20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333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00" w:firstLineChars="20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结果维持</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审结</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总计</w:t>
            </w:r>
          </w:p>
        </w:tc>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00" w:firstLineChars="20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00" w:firstLineChars="20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rPr>
            </w:pP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维持</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eastAsia="宋体"/>
                <w:color w:val="auto"/>
                <w:lang w:eastAsia="zh-CN"/>
              </w:rPr>
            </w:pPr>
            <w:r>
              <w:rPr>
                <w:rFonts w:hint="eastAsia"/>
                <w:color w:val="auto"/>
                <w:lang w:eastAsia="zh-CN"/>
              </w:rPr>
              <w:t>总计</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210" w:firstLineChars="100"/>
              <w:jc w:val="both"/>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eastAsia="宋体"/>
                <w:color w:val="auto"/>
                <w:lang w:val="en-US" w:eastAsia="zh-CN"/>
              </w:rPr>
            </w:pPr>
            <w:r>
              <w:rPr>
                <w:rFonts w:hint="eastAsia"/>
                <w:color w:val="auto"/>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color w:val="auto"/>
                <w:sz w:val="21"/>
                <w:szCs w:val="21"/>
                <w:lang w:val="en-US" w:eastAsia="zh-CN"/>
              </w:rPr>
            </w:pPr>
            <w:r>
              <w:rPr>
                <w:rFonts w:hint="eastAsia" w:eastAsia="宋体"/>
                <w:color w:val="auto"/>
                <w:lang w:val="en-US" w:eastAsia="zh-CN"/>
              </w:rPr>
              <w:t>0</w:t>
            </w: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2年，区城管局的</w:t>
      </w:r>
      <w:r>
        <w:rPr>
          <w:rFonts w:hint="eastAsia" w:ascii="仿宋_GB2312" w:hAnsi="仿宋_GB2312" w:eastAsia="仿宋_GB2312" w:cs="仿宋_GB2312"/>
          <w:color w:val="auto"/>
          <w:sz w:val="32"/>
          <w:szCs w:val="32"/>
        </w:rPr>
        <w:t>政府信息公开工作发现了一些不足之处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首先，</w:t>
      </w:r>
      <w:r>
        <w:rPr>
          <w:rFonts w:hint="eastAsia" w:ascii="仿宋_GB2312" w:hAnsi="仿宋_GB2312" w:eastAsia="仿宋_GB2312" w:cs="仿宋_GB2312"/>
          <w:color w:val="auto"/>
          <w:sz w:val="32"/>
          <w:szCs w:val="32"/>
          <w:lang w:eastAsia="zh-CN"/>
        </w:rPr>
        <w:t>公开信息内容不够丰富，主要为预防警示、已处理的日常工作；其次，</w:t>
      </w:r>
      <w:r>
        <w:rPr>
          <w:rFonts w:hint="eastAsia" w:ascii="仿宋_GB2312" w:hAnsi="仿宋_GB2312" w:eastAsia="仿宋_GB2312" w:cs="仿宋_GB2312"/>
          <w:color w:val="auto"/>
          <w:sz w:val="32"/>
          <w:szCs w:val="32"/>
        </w:rPr>
        <w:t>对政府信息公开工作的重要性认识有待进一步提高，</w:t>
      </w:r>
      <w:r>
        <w:rPr>
          <w:rFonts w:hint="eastAsia" w:ascii="仿宋_GB2312" w:hAnsi="仿宋_GB2312" w:eastAsia="仿宋_GB2312" w:cs="仿宋_GB2312"/>
          <w:color w:val="auto"/>
          <w:sz w:val="32"/>
          <w:szCs w:val="32"/>
          <w:lang w:eastAsia="zh-CN"/>
        </w:rPr>
        <w:t>业务能力有待进一步提高；</w:t>
      </w:r>
      <w:r>
        <w:rPr>
          <w:rFonts w:hint="eastAsia" w:ascii="仿宋_GB2312" w:hAnsi="仿宋_GB2312" w:eastAsia="仿宋_GB2312" w:cs="仿宋_GB2312"/>
          <w:color w:val="auto"/>
          <w:sz w:val="32"/>
          <w:szCs w:val="32"/>
        </w:rPr>
        <w:t>最后，有关政府信息公开的制度还需进一步完善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还需</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更为全面、深入的研究。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2023年，区城管局的政府信息公开工作取得了一定成效，但也有不足之处。一是个别执法人员对行政执法程序和</w:t>
      </w:r>
      <w:r>
        <w:rPr>
          <w:rFonts w:hint="eastAsia" w:ascii="仿宋_GB2312" w:hAnsi="仿宋_GB2312" w:eastAsia="仿宋_GB2312" w:cs="仿宋_GB2312"/>
          <w:color w:val="auto"/>
          <w:sz w:val="32"/>
          <w:szCs w:val="32"/>
          <w:lang w:eastAsia="zh-CN"/>
        </w:rPr>
        <w:t>公开信息内容</w:t>
      </w:r>
      <w:r>
        <w:rPr>
          <w:rFonts w:hint="eastAsia" w:ascii="仿宋_GB2312" w:hAnsi="仿宋_GB2312" w:eastAsia="仿宋_GB2312" w:cs="仿宋_GB2312"/>
          <w:color w:val="auto"/>
          <w:sz w:val="32"/>
          <w:szCs w:val="32"/>
          <w:lang w:val="en-US" w:eastAsia="zh-CN"/>
        </w:rPr>
        <w:t>的重视力度不够、认识不清，日常工作流于形式；二是城管执法工作范围广、事项多，而执法人员较为紧缺，部分公示工作完成不够及时；三是公示力度还不够，公示方式还不够多。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eastAsia="zh-CN"/>
        </w:rPr>
        <w:t>下一步，区城管局</w:t>
      </w:r>
      <w:r>
        <w:rPr>
          <w:rFonts w:hint="eastAsia" w:ascii="仿宋_GB2312" w:hAnsi="仿宋_GB2312" w:eastAsia="仿宋_GB2312" w:cs="仿宋_GB2312"/>
          <w:color w:val="auto"/>
          <w:sz w:val="32"/>
          <w:szCs w:val="32"/>
        </w:rPr>
        <w:t>将在以下几个方面加强政府信息公开工作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一是加强行政执法培训及</w:t>
      </w:r>
      <w:r>
        <w:rPr>
          <w:rFonts w:hint="eastAsia" w:ascii="仿宋_GB2312" w:hAnsi="仿宋_GB2312" w:eastAsia="仿宋_GB2312" w:cs="仿宋_GB2312"/>
          <w:color w:val="auto"/>
          <w:sz w:val="32"/>
          <w:szCs w:val="32"/>
          <w:lang w:eastAsia="zh-CN"/>
        </w:rPr>
        <w:t>公开信息内容模式培训</w:t>
      </w:r>
      <w:r>
        <w:rPr>
          <w:rFonts w:hint="eastAsia" w:ascii="仿宋_GB2312" w:hAnsi="仿宋_GB2312" w:eastAsia="仿宋_GB2312" w:cs="仿宋_GB2312"/>
          <w:color w:val="auto"/>
          <w:sz w:val="32"/>
          <w:szCs w:val="32"/>
          <w:lang w:val="en-US" w:eastAsia="zh-CN"/>
        </w:rPr>
        <w:t>。在加强执法培训上下功夫</w:t>
      </w:r>
      <w:bookmarkStart w:id="0" w:name="_GoBack"/>
      <w:bookmarkEnd w:id="0"/>
      <w:r>
        <w:rPr>
          <w:rFonts w:hint="eastAsia" w:ascii="仿宋_GB2312" w:hAnsi="仿宋_GB2312" w:eastAsia="仿宋_GB2312" w:cs="仿宋_GB2312"/>
          <w:color w:val="auto"/>
          <w:sz w:val="32"/>
          <w:szCs w:val="32"/>
          <w:lang w:val="en-US" w:eastAsia="zh-CN"/>
        </w:rPr>
        <w:t>，定期组织执法人员进行法律知识、专业知识培训，切实提升执法人员的综合素质和执法水平。二是加强检查指导。通过定期检查、积极指导办理行政执法案件等方式，确保政务信息公开工作得到有效开展，促进行政执法行为规范化。三是完善</w:t>
      </w:r>
      <w:r>
        <w:rPr>
          <w:rFonts w:hint="eastAsia" w:ascii="仿宋_GB2312" w:hAnsi="仿宋_GB2312" w:eastAsia="仿宋_GB2312" w:cs="仿宋_GB2312"/>
          <w:color w:val="auto"/>
          <w:sz w:val="32"/>
          <w:szCs w:val="32"/>
          <w:lang w:eastAsia="zh-CN"/>
        </w:rPr>
        <w:t>公开信息内容</w:t>
      </w:r>
      <w:r>
        <w:rPr>
          <w:rFonts w:hint="eastAsia" w:ascii="仿宋_GB2312" w:hAnsi="仿宋_GB2312" w:eastAsia="仿宋_GB2312" w:cs="仿宋_GB2312"/>
          <w:color w:val="auto"/>
          <w:sz w:val="32"/>
          <w:szCs w:val="32"/>
          <w:lang w:val="en-US" w:eastAsia="zh-CN"/>
        </w:rPr>
        <w:t>。进一步明确行政执法网上公示的内容、范围、程序、方式等。</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六、其他需要报告的事项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right"/>
        <w:textAlignment w:val="auto"/>
        <w:rPr>
          <w:rFonts w:hint="eastAsia" w:ascii="仿宋_GB2312" w:hAnsi="仿宋_GB2312" w:eastAsia="仿宋_GB2312" w:cs="仿宋_GB2312"/>
          <w:color w:val="auto"/>
          <w:kern w:val="2"/>
          <w:sz w:val="32"/>
          <w:szCs w:val="32"/>
          <w:lang w:val="en-US" w:eastAsia="zh-CN" w:bidi="ar-SA"/>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5760" w:firstLineChars="1800"/>
        <w:jc w:val="both"/>
        <w:textAlignment w:val="auto"/>
        <w:rPr>
          <w:rFonts w:hint="default" w:ascii="仿宋_GB2312" w:hAnsi="仿宋_GB2312" w:eastAsia="仿宋_GB2312" w:cs="仿宋_GB2312"/>
          <w:color w:val="auto"/>
          <w:kern w:val="2"/>
          <w:sz w:val="32"/>
          <w:szCs w:val="32"/>
          <w:lang w:val="en-US" w:eastAsia="zh-CN" w:bidi="ar-SA"/>
        </w:rPr>
      </w:pPr>
    </w:p>
    <w:sectPr>
      <w:headerReference r:id="rId3" w:type="default"/>
      <w:footerReference r:id="rId4"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8EBB08-E41E-468F-8DFF-5CC434DF29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20676CD6-828E-4AF3-A141-0724F4ECF6B8}"/>
  </w:font>
  <w:font w:name="仿宋_GB2312">
    <w:panose1 w:val="02010609030101010101"/>
    <w:charset w:val="86"/>
    <w:family w:val="auto"/>
    <w:pitch w:val="default"/>
    <w:sig w:usb0="00000001" w:usb1="080E0000" w:usb2="00000000" w:usb3="00000000" w:csb0="00040000" w:csb1="00000000"/>
    <w:embedRegular r:id="rId3" w:fontKey="{1C51FCCA-6FD5-40E9-90EB-BBFB06690F00}"/>
  </w:font>
  <w:font w:name="微软雅黑">
    <w:panose1 w:val="020B0503020204020204"/>
    <w:charset w:val="86"/>
    <w:family w:val="auto"/>
    <w:pitch w:val="default"/>
    <w:sig w:usb0="80000287" w:usb1="2ACF3C50" w:usb2="00000016" w:usb3="00000000" w:csb0="0004001F" w:csb1="00000000"/>
    <w:embedRegular r:id="rId4" w:fontKey="{132C83ED-4AD4-4C76-BE4D-26DA56185E8B}"/>
  </w:font>
  <w:font w:name="楷体_GB2312">
    <w:panose1 w:val="02010609030101010101"/>
    <w:charset w:val="86"/>
    <w:family w:val="auto"/>
    <w:pitch w:val="default"/>
    <w:sig w:usb0="00000001" w:usb1="080E0000" w:usb2="00000000" w:usb3="00000000" w:csb0="00040000" w:csb1="00000000"/>
    <w:embedRegular r:id="rId5" w:fontKey="{D179FCA8-097A-4A32-B8EC-DA573B56DFE0}"/>
  </w:font>
  <w:font w:name="仿宋">
    <w:panose1 w:val="02010609060101010101"/>
    <w:charset w:val="86"/>
    <w:family w:val="auto"/>
    <w:pitch w:val="default"/>
    <w:sig w:usb0="800002BF" w:usb1="38CF7CFA" w:usb2="00000016" w:usb3="00000000" w:csb0="00040001" w:csb1="00000000"/>
    <w:embedRegular r:id="rId6" w:fontKey="{E3D2D6B8-759C-424F-8802-816B9C99890E}"/>
  </w:font>
  <w:font w:name="楷体">
    <w:panose1 w:val="02010609060101010101"/>
    <w:charset w:val="86"/>
    <w:family w:val="auto"/>
    <w:pitch w:val="default"/>
    <w:sig w:usb0="800002BF" w:usb1="38CF7CFA" w:usb2="00000016" w:usb3="00000000" w:csb0="00040001" w:csb1="00000000"/>
    <w:embedRegular r:id="rId7" w:fontKey="{FCB76FFA-54F5-4CC2-B61E-C3F5AFEB11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jIzNmRiNTVkYTFkZDBmNThmNGQ5ZGM1ZTkyMzcifQ=="/>
  </w:docVars>
  <w:rsids>
    <w:rsidRoot w:val="6FB663A1"/>
    <w:rsid w:val="00473031"/>
    <w:rsid w:val="00A83AD0"/>
    <w:rsid w:val="00CE4983"/>
    <w:rsid w:val="0186353F"/>
    <w:rsid w:val="01934780"/>
    <w:rsid w:val="0216665D"/>
    <w:rsid w:val="0270686F"/>
    <w:rsid w:val="027619AC"/>
    <w:rsid w:val="02DA4630"/>
    <w:rsid w:val="032C4E8C"/>
    <w:rsid w:val="035E5D4E"/>
    <w:rsid w:val="03CC1E33"/>
    <w:rsid w:val="03E06E67"/>
    <w:rsid w:val="053507C1"/>
    <w:rsid w:val="05A131E3"/>
    <w:rsid w:val="05AA2098"/>
    <w:rsid w:val="066C37F1"/>
    <w:rsid w:val="068A061C"/>
    <w:rsid w:val="06FD269B"/>
    <w:rsid w:val="0744651C"/>
    <w:rsid w:val="08365E65"/>
    <w:rsid w:val="08E73603"/>
    <w:rsid w:val="09AF2373"/>
    <w:rsid w:val="0B233821"/>
    <w:rsid w:val="0B5F59A7"/>
    <w:rsid w:val="0C711B61"/>
    <w:rsid w:val="0CDD0FA5"/>
    <w:rsid w:val="0DEA1BCB"/>
    <w:rsid w:val="0E796AAB"/>
    <w:rsid w:val="0EAC0C2F"/>
    <w:rsid w:val="0F2033CB"/>
    <w:rsid w:val="0F2A424A"/>
    <w:rsid w:val="0F512F0F"/>
    <w:rsid w:val="0FA1450C"/>
    <w:rsid w:val="0FCC70AF"/>
    <w:rsid w:val="0FE60171"/>
    <w:rsid w:val="0FFA3C1C"/>
    <w:rsid w:val="10A67900"/>
    <w:rsid w:val="10D821AF"/>
    <w:rsid w:val="1111746F"/>
    <w:rsid w:val="1133021E"/>
    <w:rsid w:val="11515ABE"/>
    <w:rsid w:val="128F4AEF"/>
    <w:rsid w:val="12E017EF"/>
    <w:rsid w:val="13207E3D"/>
    <w:rsid w:val="13337B71"/>
    <w:rsid w:val="13F76DF0"/>
    <w:rsid w:val="14D42C8D"/>
    <w:rsid w:val="14DC1B42"/>
    <w:rsid w:val="150D43F1"/>
    <w:rsid w:val="155D7127"/>
    <w:rsid w:val="15802E15"/>
    <w:rsid w:val="1672275E"/>
    <w:rsid w:val="16AB5C70"/>
    <w:rsid w:val="1752258F"/>
    <w:rsid w:val="17B06A74"/>
    <w:rsid w:val="17EE050A"/>
    <w:rsid w:val="185540E5"/>
    <w:rsid w:val="18C82B09"/>
    <w:rsid w:val="18DF60A5"/>
    <w:rsid w:val="193B7451"/>
    <w:rsid w:val="196F11D7"/>
    <w:rsid w:val="199B021E"/>
    <w:rsid w:val="19E5593D"/>
    <w:rsid w:val="1B4D379A"/>
    <w:rsid w:val="1B7E7DF7"/>
    <w:rsid w:val="1CBF2475"/>
    <w:rsid w:val="1D1E1B68"/>
    <w:rsid w:val="1D4AE8AB"/>
    <w:rsid w:val="1DD106B2"/>
    <w:rsid w:val="1F686346"/>
    <w:rsid w:val="1F6D7F66"/>
    <w:rsid w:val="213351E0"/>
    <w:rsid w:val="21BC3427"/>
    <w:rsid w:val="224A27E1"/>
    <w:rsid w:val="22602004"/>
    <w:rsid w:val="227B3326"/>
    <w:rsid w:val="22B83BEE"/>
    <w:rsid w:val="237D6BE6"/>
    <w:rsid w:val="2392443F"/>
    <w:rsid w:val="23E43E83"/>
    <w:rsid w:val="24A93B72"/>
    <w:rsid w:val="24AE34FB"/>
    <w:rsid w:val="253736C1"/>
    <w:rsid w:val="25BA7C7E"/>
    <w:rsid w:val="274B5124"/>
    <w:rsid w:val="282D2989"/>
    <w:rsid w:val="28814A83"/>
    <w:rsid w:val="288D1679"/>
    <w:rsid w:val="29192F0D"/>
    <w:rsid w:val="293246EE"/>
    <w:rsid w:val="29A9603F"/>
    <w:rsid w:val="29BF1D06"/>
    <w:rsid w:val="29EB48A9"/>
    <w:rsid w:val="2A6049C6"/>
    <w:rsid w:val="2A6C52BE"/>
    <w:rsid w:val="2A8E16D9"/>
    <w:rsid w:val="2A9A007E"/>
    <w:rsid w:val="2B8332F5"/>
    <w:rsid w:val="2BD650E5"/>
    <w:rsid w:val="2C26606D"/>
    <w:rsid w:val="2C86594D"/>
    <w:rsid w:val="2CA709F3"/>
    <w:rsid w:val="2CDF7FCA"/>
    <w:rsid w:val="2CE22B18"/>
    <w:rsid w:val="2D371BB4"/>
    <w:rsid w:val="2E20089A"/>
    <w:rsid w:val="2E3F45EA"/>
    <w:rsid w:val="2F0800F9"/>
    <w:rsid w:val="2F8E0434"/>
    <w:rsid w:val="2FA304AC"/>
    <w:rsid w:val="305E7570"/>
    <w:rsid w:val="30871661"/>
    <w:rsid w:val="30BD6874"/>
    <w:rsid w:val="30ED7159"/>
    <w:rsid w:val="30FE1366"/>
    <w:rsid w:val="31046251"/>
    <w:rsid w:val="319325D1"/>
    <w:rsid w:val="31B1462B"/>
    <w:rsid w:val="325D030E"/>
    <w:rsid w:val="328F3FC3"/>
    <w:rsid w:val="33602DC2"/>
    <w:rsid w:val="33997124"/>
    <w:rsid w:val="33FA45E8"/>
    <w:rsid w:val="34052A0C"/>
    <w:rsid w:val="352001C4"/>
    <w:rsid w:val="3575771D"/>
    <w:rsid w:val="358F18F4"/>
    <w:rsid w:val="367943B2"/>
    <w:rsid w:val="36EE7787"/>
    <w:rsid w:val="374F52B8"/>
    <w:rsid w:val="378B10CC"/>
    <w:rsid w:val="378C0D4E"/>
    <w:rsid w:val="37EF1A09"/>
    <w:rsid w:val="3810372D"/>
    <w:rsid w:val="383A69FC"/>
    <w:rsid w:val="38B7004D"/>
    <w:rsid w:val="392F4087"/>
    <w:rsid w:val="396C7089"/>
    <w:rsid w:val="39AD3929"/>
    <w:rsid w:val="39BD1693"/>
    <w:rsid w:val="3A2F2590"/>
    <w:rsid w:val="3A483652"/>
    <w:rsid w:val="3A9B45AD"/>
    <w:rsid w:val="3ACC6031"/>
    <w:rsid w:val="3B464036"/>
    <w:rsid w:val="3BB835B3"/>
    <w:rsid w:val="3BCD02B3"/>
    <w:rsid w:val="3BE41159"/>
    <w:rsid w:val="3C2B322B"/>
    <w:rsid w:val="3C4816E7"/>
    <w:rsid w:val="3C4E0CC8"/>
    <w:rsid w:val="3CB72D11"/>
    <w:rsid w:val="3CC91928"/>
    <w:rsid w:val="3D22018A"/>
    <w:rsid w:val="3D2C7931"/>
    <w:rsid w:val="3D791D75"/>
    <w:rsid w:val="3E1026D9"/>
    <w:rsid w:val="3E6842C3"/>
    <w:rsid w:val="3F177A97"/>
    <w:rsid w:val="3FDA2F9E"/>
    <w:rsid w:val="40C94DC1"/>
    <w:rsid w:val="41BA3087"/>
    <w:rsid w:val="425863FC"/>
    <w:rsid w:val="429C3F57"/>
    <w:rsid w:val="431A7B56"/>
    <w:rsid w:val="435E7A42"/>
    <w:rsid w:val="438F40A0"/>
    <w:rsid w:val="4447486E"/>
    <w:rsid w:val="444F3916"/>
    <w:rsid w:val="446F7753"/>
    <w:rsid w:val="45E430C1"/>
    <w:rsid w:val="461C661C"/>
    <w:rsid w:val="469E4A49"/>
    <w:rsid w:val="477E6905"/>
    <w:rsid w:val="47B42327"/>
    <w:rsid w:val="47EA7AF7"/>
    <w:rsid w:val="48492B7D"/>
    <w:rsid w:val="48FB5D34"/>
    <w:rsid w:val="491D1CBF"/>
    <w:rsid w:val="49724248"/>
    <w:rsid w:val="4A302D51"/>
    <w:rsid w:val="4A532926"/>
    <w:rsid w:val="4AC62A9D"/>
    <w:rsid w:val="4B650BC6"/>
    <w:rsid w:val="4BAC6757"/>
    <w:rsid w:val="4BBA0128"/>
    <w:rsid w:val="4C2D4456"/>
    <w:rsid w:val="4C3A6B73"/>
    <w:rsid w:val="4CE90CC5"/>
    <w:rsid w:val="4D225F85"/>
    <w:rsid w:val="4DA8648A"/>
    <w:rsid w:val="4DF27705"/>
    <w:rsid w:val="4E4A12EF"/>
    <w:rsid w:val="4E571C5E"/>
    <w:rsid w:val="4F9071D6"/>
    <w:rsid w:val="4FCB46B2"/>
    <w:rsid w:val="50C71722"/>
    <w:rsid w:val="50EF617E"/>
    <w:rsid w:val="517D5E7F"/>
    <w:rsid w:val="51BA49DE"/>
    <w:rsid w:val="51EB103B"/>
    <w:rsid w:val="51F07805"/>
    <w:rsid w:val="5233653E"/>
    <w:rsid w:val="52432C25"/>
    <w:rsid w:val="525A7F6F"/>
    <w:rsid w:val="53AF9701"/>
    <w:rsid w:val="54ED201E"/>
    <w:rsid w:val="5536081F"/>
    <w:rsid w:val="5540344C"/>
    <w:rsid w:val="55410F72"/>
    <w:rsid w:val="55562C6F"/>
    <w:rsid w:val="568B06F7"/>
    <w:rsid w:val="56B61E25"/>
    <w:rsid w:val="57631674"/>
    <w:rsid w:val="58137C52"/>
    <w:rsid w:val="59A2105E"/>
    <w:rsid w:val="5A274BDA"/>
    <w:rsid w:val="5ACB7C5C"/>
    <w:rsid w:val="5AE64A95"/>
    <w:rsid w:val="5AE900E2"/>
    <w:rsid w:val="5BFD3E45"/>
    <w:rsid w:val="5C8A1451"/>
    <w:rsid w:val="5DB53257"/>
    <w:rsid w:val="5DF03535"/>
    <w:rsid w:val="5E3C677A"/>
    <w:rsid w:val="5E5D506F"/>
    <w:rsid w:val="5E8171A1"/>
    <w:rsid w:val="5EC23124"/>
    <w:rsid w:val="5ED30E8D"/>
    <w:rsid w:val="5F7A39FE"/>
    <w:rsid w:val="5FD7EEA6"/>
    <w:rsid w:val="5FEF2EC6"/>
    <w:rsid w:val="61730824"/>
    <w:rsid w:val="631101D6"/>
    <w:rsid w:val="63276CE3"/>
    <w:rsid w:val="63521682"/>
    <w:rsid w:val="63892462"/>
    <w:rsid w:val="646F3406"/>
    <w:rsid w:val="64DD4813"/>
    <w:rsid w:val="653F2845"/>
    <w:rsid w:val="65846AD9"/>
    <w:rsid w:val="65D774B5"/>
    <w:rsid w:val="66C11F13"/>
    <w:rsid w:val="66C43673"/>
    <w:rsid w:val="672C45D9"/>
    <w:rsid w:val="677B0C31"/>
    <w:rsid w:val="67A1421E"/>
    <w:rsid w:val="67D31EFE"/>
    <w:rsid w:val="67E97973"/>
    <w:rsid w:val="67F85E08"/>
    <w:rsid w:val="69205616"/>
    <w:rsid w:val="694330B3"/>
    <w:rsid w:val="6A4175F2"/>
    <w:rsid w:val="6A5D01A4"/>
    <w:rsid w:val="6BD63BF0"/>
    <w:rsid w:val="6BEF307E"/>
    <w:rsid w:val="6C2B055A"/>
    <w:rsid w:val="6C5E0930"/>
    <w:rsid w:val="6C7A503E"/>
    <w:rsid w:val="6DD44651"/>
    <w:rsid w:val="6DFF1C9E"/>
    <w:rsid w:val="6E4E22DE"/>
    <w:rsid w:val="6ED07197"/>
    <w:rsid w:val="6FB663A1"/>
    <w:rsid w:val="70231548"/>
    <w:rsid w:val="70313C65"/>
    <w:rsid w:val="70396F65"/>
    <w:rsid w:val="70455963"/>
    <w:rsid w:val="715D7A2D"/>
    <w:rsid w:val="71C56D5B"/>
    <w:rsid w:val="71F80EDE"/>
    <w:rsid w:val="732B330D"/>
    <w:rsid w:val="73BFA324"/>
    <w:rsid w:val="73EA2684"/>
    <w:rsid w:val="752913AF"/>
    <w:rsid w:val="75B570E6"/>
    <w:rsid w:val="761107C1"/>
    <w:rsid w:val="762F0C47"/>
    <w:rsid w:val="76650B0D"/>
    <w:rsid w:val="769211D6"/>
    <w:rsid w:val="76FE2720"/>
    <w:rsid w:val="77083846"/>
    <w:rsid w:val="775F37AE"/>
    <w:rsid w:val="7777F9B0"/>
    <w:rsid w:val="77CD5815"/>
    <w:rsid w:val="77DE6097"/>
    <w:rsid w:val="77F71C38"/>
    <w:rsid w:val="77FE0C5E"/>
    <w:rsid w:val="7951041F"/>
    <w:rsid w:val="79BFF128"/>
    <w:rsid w:val="79E166FC"/>
    <w:rsid w:val="7B3867F0"/>
    <w:rsid w:val="7B3B1E3C"/>
    <w:rsid w:val="7BBA0FB3"/>
    <w:rsid w:val="7C354ADD"/>
    <w:rsid w:val="7C3FAA46"/>
    <w:rsid w:val="7CDC13FD"/>
    <w:rsid w:val="7CEA29D0"/>
    <w:rsid w:val="7D425704"/>
    <w:rsid w:val="7D4C6582"/>
    <w:rsid w:val="7D618BE0"/>
    <w:rsid w:val="7DD92198"/>
    <w:rsid w:val="7E5F5E41"/>
    <w:rsid w:val="7EAB1087"/>
    <w:rsid w:val="7EFDD63F"/>
    <w:rsid w:val="7F5F5F53"/>
    <w:rsid w:val="7F97BEBF"/>
    <w:rsid w:val="7FB573AC"/>
    <w:rsid w:val="7FC71EF0"/>
    <w:rsid w:val="7FDD7966"/>
    <w:rsid w:val="7FEBFE3F"/>
    <w:rsid w:val="7FF16F6D"/>
    <w:rsid w:val="7FFFB8CE"/>
    <w:rsid w:val="BEB58837"/>
    <w:rsid w:val="C2FB314E"/>
    <w:rsid w:val="CFFB5957"/>
    <w:rsid w:val="DCC6D1B0"/>
    <w:rsid w:val="F3D91A99"/>
    <w:rsid w:val="F8FF9C14"/>
    <w:rsid w:val="FAFD4129"/>
    <w:rsid w:val="FE36016A"/>
    <w:rsid w:val="FEED227C"/>
    <w:rsid w:val="FF1979C4"/>
    <w:rsid w:val="FF3DB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rFonts w:ascii="Times New Roman" w:hAnsi="Times New Roman"/>
      <w:sz w:val="18"/>
      <w:szCs w:val="22"/>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szCs w:val="22"/>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1929</Words>
  <Characters>2013</Characters>
  <Lines>0</Lines>
  <Paragraphs>0</Paragraphs>
  <TotalTime>3</TotalTime>
  <ScaleCrop>false</ScaleCrop>
  <LinksUpToDate>false</LinksUpToDate>
  <CharactersWithSpaces>2254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2022-12-31T17:04:00Z</dcterms:created>
  <dc:creator>温差</dc:creator>
  <cp:lastModifiedBy>cff</cp:lastModifiedBy>
  <cp:lastPrinted>2024-01-20T01:52:00Z</cp:lastPrinted>
  <dcterms:modified xsi:type="dcterms:W3CDTF">2024-01-30T08:58:26Z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4D68755F89DC4E9F9B7A3DFFBD104F2C</vt:lpwstr>
  </property>
</Properties>
</file>