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  <w:t>西塞山区民宗局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  <w:t>政府信息公开工作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  <w:t>年度报告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auto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年，在区委区政府的正确领导和区政务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服务和大数据管理局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的具体指导下，我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严格按照“公正、公平、便民”的总体原则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“及时、准确”的总体要求，认真贯彻落实《中华人民共和国政府信息公开条例》，并把政府信息公开工作作为建设服务政府、透明政府、阳光政府的重要举措，切实保障人民群众的知情权、监督权和参与权。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2"/>
        <w:tblW w:w="4972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8"/>
        <w:gridCol w:w="795"/>
        <w:gridCol w:w="2832"/>
        <w:gridCol w:w="590"/>
        <w:gridCol w:w="590"/>
        <w:gridCol w:w="590"/>
        <w:gridCol w:w="590"/>
        <w:gridCol w:w="590"/>
        <w:gridCol w:w="601"/>
        <w:gridCol w:w="5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1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62"/>
        <w:gridCol w:w="562"/>
        <w:gridCol w:w="562"/>
        <w:gridCol w:w="586"/>
        <w:gridCol w:w="562"/>
        <w:gridCol w:w="562"/>
        <w:gridCol w:w="564"/>
        <w:gridCol w:w="564"/>
        <w:gridCol w:w="584"/>
        <w:gridCol w:w="564"/>
        <w:gridCol w:w="564"/>
        <w:gridCol w:w="567"/>
        <w:gridCol w:w="568"/>
        <w:gridCol w:w="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color w:val="auto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年，我局政府信息公开工作取得了新的进展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与公众需求还存在一些差距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工作人员对政务系统业务不熟悉、相关政策学习培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训不到位；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没有配备专职人员进行操作，信息处理公开不及时；三是网上办理覆盖面不广，使用频率不高，信息公开途径单一，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宣传和引导工作需要进一步加强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信息主动公开的时效性有待进一步加强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信息公开内容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全面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针对以上情况，我局将继续完善措施，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做好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我局政府信息公开工作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,将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重点抓好以下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几项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一是进一步提高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我局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干部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职工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对做好政府信息公开工作的认识，提升业务专业素养和政策把握能力。二是加强政务信息工作队伍建设，加强对政府信息公开工作的领导和监督，层层落实责任，定期督查通报，确保把政府信息公开工作落到实处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三是进一步拓宽信息公开途径。通过网络、微信等多种方式加大民族宗教政策宣传力度，进一步细化信息公开工作流程，拓宽公开渠道，确保操作简便明了，利于查找；引导群众使用互联网平台，有利于群众了解我们的工作以及如何办理相关业务，大大的缩减了群众的办件时间，提升了办事效率。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是进一步健全和完善信息公开各项制度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规范和完善政府信息公开的内容、形式，对涉及公众关心的重大问题、重大决策及时公开，同时做好社会热点回应，健全舆情收集、研判和回应机制，对网络舆情、重大突发事件等热点问题，依法按程序进行公开，及时回应群众关切的问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提高公开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实效性。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0C312D-3EA0-4545-A4D2-E581EA9F52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10F30F2-1236-4072-8BE1-3279FB7731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1CAD3B7-EF49-4DFA-9AE6-BDADA9AD6E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F0D4006-CE08-44A3-8652-F645A2F4AF7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2EB9FCC-E954-435D-A60E-E58C48C013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YwYjIzNmRiNTVkYTFkZDBmNThmNGQ5ZGM1ZTkyMzcifQ=="/>
  </w:docVars>
  <w:rsids>
    <w:rsidRoot w:val="00000000"/>
    <w:rsid w:val="028904FC"/>
    <w:rsid w:val="0B30303F"/>
    <w:rsid w:val="1A3A4EF1"/>
    <w:rsid w:val="2FDF4D2A"/>
    <w:rsid w:val="351716C8"/>
    <w:rsid w:val="479F6183"/>
    <w:rsid w:val="4A121587"/>
    <w:rsid w:val="6BBB33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5">
    <w:name w:val="HTML Address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2021-12-22T07:19:00Z</dcterms:created>
  <dc:creator>WPS_1624785580</dc:creator>
  <cp:lastModifiedBy>cff</cp:lastModifiedBy>
  <dcterms:modified xsi:type="dcterms:W3CDTF">2024-01-18T06:35:13Z</dcterms:modified>
  <dc:title>WPS_1624785580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777F53E91E564B3B96F5A1A435D08748</vt:lpwstr>
  </property>
</Properties>
</file>