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b/>
          <w:bCs/>
          <w:color w:val="333333"/>
          <w:sz w:val="36"/>
          <w:szCs w:val="36"/>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西塞山区医疗保障局202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年政府信息</w:t>
      </w: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公开年度报告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rPr>
        <w:t>一、总体情况</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（一）</w:t>
      </w:r>
      <w:r>
        <w:rPr>
          <w:rFonts w:hint="eastAsia" w:ascii="楷体" w:hAnsi="楷体" w:eastAsia="楷体"/>
          <w:color w:val="000000" w:themeColor="text1"/>
          <w:sz w:val="28"/>
          <w:szCs w:val="28"/>
          <w14:textFill>
            <w14:solidFill>
              <w14:schemeClr w14:val="tx1"/>
            </w14:solidFill>
          </w14:textFill>
        </w:rPr>
        <w:t>主动公开情况</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我局坚持以公开为常态、不公开为例外，及时主动公开政务信息，截止到202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年12月31日，围绕医疗救助、定点医疗机构管理、药品集中招采、医保政策解读、医保基金监管等工作举措及成效共公开政府信</w:t>
      </w:r>
      <w:r>
        <w:rPr>
          <w:rFonts w:hint="eastAsia" w:ascii="仿宋_GB2312" w:hAnsi="仿宋_GB2312" w:eastAsia="仿宋_GB2312" w:cs="仿宋_GB2312"/>
          <w:sz w:val="28"/>
          <w:szCs w:val="28"/>
          <w:lang w:eastAsia="zh-CN"/>
        </w:rPr>
        <w:t>息</w:t>
      </w:r>
      <w:r>
        <w:rPr>
          <w:rFonts w:hint="eastAsia" w:ascii="仿宋_GB2312" w:hAnsi="仿宋_GB2312" w:eastAsia="仿宋_GB2312" w:cs="仿宋_GB2312"/>
          <w:sz w:val="28"/>
          <w:szCs w:val="28"/>
          <w:lang w:val="en-US" w:eastAsia="zh-CN"/>
        </w:rPr>
        <w:t>51</w:t>
      </w:r>
      <w:r>
        <w:rPr>
          <w:rFonts w:hint="eastAsia" w:ascii="仿宋_GB2312" w:hAnsi="仿宋_GB2312" w:eastAsia="仿宋_GB2312" w:cs="仿宋_GB2312"/>
          <w:sz w:val="28"/>
          <w:szCs w:val="28"/>
        </w:rPr>
        <w:t>条，其中门户网站发布信息</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条，微信公众号发布信息</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条，媒体发布</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条。</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（二）依申请公开情况</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年，区医保局收到政府信息公开申请0件。</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（三）政府信息管理情况</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多次在</w:t>
      </w:r>
      <w:r>
        <w:rPr>
          <w:rFonts w:hint="eastAsia" w:ascii="仿宋_GB2312" w:hAnsi="仿宋_GB2312" w:eastAsia="仿宋_GB2312" w:cs="仿宋_GB2312"/>
          <w:sz w:val="28"/>
          <w:szCs w:val="28"/>
          <w:lang w:eastAsia="zh-CN"/>
        </w:rPr>
        <w:t>工作例会</w:t>
      </w:r>
      <w:r>
        <w:rPr>
          <w:rFonts w:hint="eastAsia" w:ascii="仿宋_GB2312" w:hAnsi="仿宋_GB2312" w:eastAsia="仿宋_GB2312" w:cs="仿宋_GB2312"/>
          <w:sz w:val="28"/>
          <w:szCs w:val="28"/>
        </w:rPr>
        <w:t>、集中学习会议上传达政务公开相关精神，及时安排部署政务公开工作。</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（四）平台建设情况</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主要依托西塞山区人民政府</w:t>
      </w:r>
      <w:r>
        <w:rPr>
          <w:rFonts w:hint="eastAsia" w:ascii="仿宋" w:hAnsi="仿宋" w:eastAsia="仿宋"/>
          <w:sz w:val="28"/>
          <w:szCs w:val="28"/>
          <w:lang w:eastAsia="zh-CN"/>
        </w:rPr>
        <w:t>、</w:t>
      </w:r>
      <w:r>
        <w:rPr>
          <w:rFonts w:hint="eastAsia" w:ascii="仿宋" w:hAnsi="仿宋" w:eastAsia="仿宋"/>
          <w:sz w:val="28"/>
          <w:szCs w:val="28"/>
        </w:rPr>
        <w:t>黄石市医疗保障局两大门户网站公开政务信息，同时通过微信公众号“全景西塞”</w:t>
      </w:r>
      <w:r>
        <w:rPr>
          <w:rFonts w:hint="eastAsia" w:ascii="仿宋" w:hAnsi="仿宋" w:eastAsia="仿宋"/>
          <w:sz w:val="28"/>
          <w:szCs w:val="28"/>
          <w:lang w:eastAsia="zh-CN"/>
        </w:rPr>
        <w:t>“黄石医疗保障”</w:t>
      </w:r>
      <w:r>
        <w:rPr>
          <w:rFonts w:hint="eastAsia" w:ascii="仿宋" w:hAnsi="仿宋" w:eastAsia="仿宋"/>
          <w:sz w:val="28"/>
          <w:szCs w:val="28"/>
        </w:rPr>
        <w:t>及黄石日报发布医保工作动态、医保政策解读</w:t>
      </w:r>
      <w:r>
        <w:rPr>
          <w:rFonts w:hint="eastAsia" w:ascii="仿宋" w:hAnsi="仿宋" w:eastAsia="仿宋"/>
          <w:sz w:val="28"/>
          <w:szCs w:val="28"/>
          <w:lang w:eastAsia="zh-CN"/>
        </w:rPr>
        <w:t>。</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（五）监督保障情况</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政务公开公正有序，我局建立信息共享微信、QQ群，保障工作动态、医保政策的实时共享；建立与主流媒体的定期联络机制，实现公开信息的及时报送；强化责任落实，由局主要领导和办公室负责人做好政府信息公开工作监督，依照新修订的政府信息公开条例明确公开范围、时限等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我局本年度无相关公开信息。</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本年度公开2021年医疗救助发放明细1次。</w:t>
      </w:r>
    </w:p>
    <w:tbl>
      <w:tblPr>
        <w:tblStyle w:val="3"/>
        <w:tblW w:w="493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43"/>
        <w:gridCol w:w="788"/>
        <w:gridCol w:w="2813"/>
        <w:gridCol w:w="587"/>
        <w:gridCol w:w="587"/>
        <w:gridCol w:w="587"/>
        <w:gridCol w:w="587"/>
        <w:gridCol w:w="587"/>
        <w:gridCol w:w="595"/>
        <w:gridCol w:w="5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3"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9"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2"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55"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2"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1</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1.属于国家秘密</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2.其他法律行政法规禁止公开</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bookmarkStart w:id="0" w:name="_GoBack"/>
            <w:bookmarkEnd w:id="0"/>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3.危及“三安全一稳定”</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4.保护第三方合法权益</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5.属于三类内部事务信息</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6.属于四类过程性信息</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7.属于行政执法案卷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8.属于行政查询事项</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1.本机关不掌握相关政府信息</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2.没有现成信息需要另行制作</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3.补正后申请内容仍不明确</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1.信访举报投诉类申请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2.重复申请</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3.要求提供公开出版物</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4.无正当理由大量反复申请</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5.要求行政机关确认或重新出具已获取信息</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1.申请人无正当理由逾期不补正、行政机关不再处理其政府信息公开申请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2.申请人逾期未按收费通知要求缴纳费用、行政机关不再处理其政府信息公开申请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3.其他</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both"/>
        <w:rPr>
          <w:rFonts w:hint="eastAsia" w:ascii="宋体" w:hAnsi="宋体" w:eastAsia="宋体" w:cs="宋体"/>
          <w:color w:val="333333"/>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tbl>
      <w:tblPr>
        <w:tblStyle w:val="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5"/>
        <w:gridCol w:w="565"/>
        <w:gridCol w:w="565"/>
        <w:gridCol w:w="565"/>
        <w:gridCol w:w="574"/>
        <w:gridCol w:w="566"/>
        <w:gridCol w:w="566"/>
        <w:gridCol w:w="568"/>
        <w:gridCol w:w="568"/>
        <w:gridCol w:w="573"/>
        <w:gridCol w:w="568"/>
        <w:gridCol w:w="568"/>
        <w:gridCol w:w="568"/>
        <w:gridCol w:w="568"/>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333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五、存在的主要问题及改进情况</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区医保局在全面落实政务公开工作中虽取得了一定的成绩，但仍然存在以下问题：一是政务公开方式较为单一，大部分公开内容为医保政策及业务动态；二是政务公开工作队伍专业化能力和信息化水平有待提升。</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2023年，我局将针对薄弱环节，切实采取有效措施，进一步加大主动公开力度，不断提升政务公开质量和水平，积极做好如下两个个方面：</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是扩宽政府信息公开渠道。依托区政府门户网站开展政府信息公开的同时进一步推动新媒体在政务公开工作中的运用，畅通公开渠道、丰富公开形式，保障及时公布、更新工作动态和部门信息，对信息内容精准分类，并确保信息公开的准确性和时效性，确保群众的知情权。</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是加强政府信息公开工作队伍建设。深入贯彻落实修订版《中华人民共和国政府信息公开条例》，认真组织学习中央、省、市、区关于政务公开相关文件，重视相关工作人员理论知识学习和业务技能培训，提升政府信息公开工作整体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581A50B-E6AA-4920-A908-78BEA1FA8B8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6A21CA1-3BF1-4EB0-ACBF-7F6960069A05}"/>
  </w:font>
  <w:font w:name="方正小标宋简体">
    <w:panose1 w:val="02000000000000000000"/>
    <w:charset w:val="86"/>
    <w:family w:val="auto"/>
    <w:pitch w:val="default"/>
    <w:sig w:usb0="00000001" w:usb1="080E0000" w:usb2="00000000" w:usb3="00000000" w:csb0="00040000" w:csb1="00000000"/>
    <w:embedRegular r:id="rId3" w:fontKey="{07629784-7E87-476D-819E-820CEFF79627}"/>
  </w:font>
  <w:font w:name="楷体">
    <w:panose1 w:val="02010609060101010101"/>
    <w:charset w:val="86"/>
    <w:family w:val="auto"/>
    <w:pitch w:val="default"/>
    <w:sig w:usb0="800002BF" w:usb1="38CF7CFA" w:usb2="00000016" w:usb3="00000000" w:csb0="00040001" w:csb1="00000000"/>
    <w:embedRegular r:id="rId4" w:fontKey="{FC6B040D-1928-4439-A5FC-F5F2EDC49197}"/>
  </w:font>
  <w:font w:name="仿宋_GB2312">
    <w:panose1 w:val="02010609030101010101"/>
    <w:charset w:val="86"/>
    <w:family w:val="auto"/>
    <w:pitch w:val="default"/>
    <w:sig w:usb0="00000001" w:usb1="080E0000" w:usb2="00000000" w:usb3="00000000" w:csb0="00040000" w:csb1="00000000"/>
    <w:embedRegular r:id="rId5" w:fontKey="{2AE1623C-D52A-4A5D-803D-C3910AD343D9}"/>
  </w:font>
  <w:font w:name="仿宋">
    <w:panose1 w:val="02010609060101010101"/>
    <w:charset w:val="86"/>
    <w:family w:val="auto"/>
    <w:pitch w:val="default"/>
    <w:sig w:usb0="800002BF" w:usb1="38CF7CFA" w:usb2="00000016" w:usb3="00000000" w:csb0="00040001" w:csb1="00000000"/>
    <w:embedRegular r:id="rId6" w:fontKey="{6AF591B3-951D-42A5-8908-8FE4F14A881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YjIzNmRiNTVkYTFkZDBmNThmNGQ5ZGM1ZTkyMzcifQ=="/>
  </w:docVars>
  <w:rsids>
    <w:rsidRoot w:val="238B1E27"/>
    <w:rsid w:val="07205638"/>
    <w:rsid w:val="0D6567B3"/>
    <w:rsid w:val="238B1E27"/>
    <w:rsid w:val="246E2621"/>
    <w:rsid w:val="29EA3273"/>
    <w:rsid w:val="33E222C5"/>
    <w:rsid w:val="380214FF"/>
    <w:rsid w:val="397119C0"/>
    <w:rsid w:val="61386DAA"/>
    <w:rsid w:val="66CF3BE6"/>
    <w:rsid w:val="747A32DC"/>
    <w:rsid w:val="79FB1236"/>
    <w:rsid w:val="7AC9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1794</Words>
  <Characters>1837</Characters>
  <Lines>0</Lines>
  <Paragraphs>0</Paragraphs>
  <TotalTime>92</TotalTime>
  <ScaleCrop>false</ScaleCrop>
  <LinksUpToDate>false</LinksUpToDate>
  <CharactersWithSpaces>2041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2021-12-21T15:19:00Z</dcterms:created>
  <dc:creator>WPS_1624785580</dc:creator>
  <cp:lastModifiedBy>温差</cp:lastModifiedBy>
  <dcterms:modified xsi:type="dcterms:W3CDTF">2023-01-28T09:13:04Z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980957D282894109BF92F60FF6C9D947</vt:lpwstr>
  </property>
</Properties>
</file>