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pStyle w:val="3"/>
        <w:widowControl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eastAsia="zh-CN"/>
        </w:rPr>
        <w:t>西塞山区民宗局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政府信息公开工作</w:t>
      </w:r>
    </w:p>
    <w:p>
      <w:pPr>
        <w:pStyle w:val="3"/>
        <w:widowControl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年度报告</w:t>
      </w:r>
    </w:p>
    <w:p>
      <w:pPr>
        <w:pStyle w:val="3"/>
        <w:widowControl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3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年，在区委区政府的正确领导和区政务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服务和大数据管理局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的具体指导下，我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严格按照“公正、公平、便民”的总体原则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“及时、准确”的总体要求，认真贯彻落实《中华人民共和国政府信息公开条例》，并把政府信息公开工作作为建设服务政府、透明政府、阳光政府的重要举措，切实保障人民群众的知情权、监督权和参与权。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W w:w="8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制发件数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本年废止件数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数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行政规范性文件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3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</w:p>
    <w:p>
      <w:pPr>
        <w:pStyle w:val="3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</w:p>
    <w:p>
      <w:pPr>
        <w:pStyle w:val="3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W w:w="846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rPr>
          <w:jc w:val="center"/>
        </w:trPr>
        <w:tc>
          <w:tcPr>
            <w:tcW w:w="42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1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29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商业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企业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科研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机构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trHeight w:val="77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3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</w:p>
    <w:p>
      <w:pPr>
        <w:pStyle w:val="3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rPr>
          <w:jc w:val="center"/>
        </w:trPr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rPr>
          <w:jc w:val="center"/>
        </w:trPr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rPr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trHeight w:val="67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/>
              <w:jc w:val="both"/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3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年，我局政府信息公开工作取得了新的进展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与公众需求还存在一些差距，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工作人员对政务系统业务不熟悉、相关政策学习培训不到位；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没有配备专职人员进行操作，信息处理公开不及时；三是网上办理覆盖面不广，使用频率不高，信息公开途径单一，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宣传和引导工作需要进一步加强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信息主动公开的时效性有待进一步加强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信息公开内容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全面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针对以上情况，我局将继续完善措施，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做好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我局政府信息公开工作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,将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重点抓好以下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几项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：一是进一步提高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干部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职工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做好政府信息公开工作的认识，提升业务专业素养和政策把握能力。二是加强政务信息工作队伍建设，加强对政府信息公开工作的领导和监督，层层落实责任，定期督查通报，确保把政府信息公开工作落到实处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是进一步拓宽信息公开途径。通过网络、微信等多种方式加大民族宗教政策宣传力度，进一步细化信息公开工作流程，拓宽公开渠道，确保操作简便明了，利于查找；引导群众使用互联网平台，有利于群众了解我们的工作以及如何办理相关业务，大大的缩减了群众的办件时间，提升了办事效率。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是进一步健全和完善信息公开各项制度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规范和完善政府信息公开的内容、形式，对涉及公众关心的重大问题、重大决策及时公开，同时做好社会热点回应，健全舆情收集、研判和回应机制，对网络舆情、重大突发事件等热点问题，依法按程序进行公开，及时回应群众关切的问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提高公开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实效性。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2022年度我局信息公开工作没有其他需要报告事项。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widowControl/>
        <w:wordWrap w:val="0"/>
        <w:adjustRightInd/>
        <w:snapToGrid/>
        <w:spacing w:before="0" w:beforeAutospacing="0" w:after="0" w:afterAutospacing="0" w:line="360" w:lineRule="auto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西塞山区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民族宗教事务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局</w:t>
      </w:r>
    </w:p>
    <w:p>
      <w:pPr>
        <w:pStyle w:val="3"/>
        <w:widowControl/>
        <w:wordWrap w:val="0"/>
        <w:adjustRightInd/>
        <w:snapToGrid/>
        <w:spacing w:before="0" w:beforeAutospacing="0" w:after="0" w:afterAutospacing="0" w:line="360" w:lineRule="auto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Normal (Web)"/>
    <w:basedOn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4">
    <w:name w:val="HTML Address"/>
    <w:basedOn w:val="1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2021-12-21T23:19:00Z</dcterms:created>
  <dc:creator>WPS_1624785580</dc:creator>
  <dcterms:modified xsi:type="dcterms:W3CDTF">2023-01-28T10:57:09Z</dcterms:modified>
  <dc:title>WPS_1624785580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777F53E91E564B3B96F5A1A435D08748</vt:lpwstr>
  </property>
</Properties>
</file>