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3"/>
        <w:widowControl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eastAsia="zh-CN"/>
        </w:rPr>
        <w:t>西塞山区民宗局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政府信息公开工作</w:t>
      </w:r>
    </w:p>
    <w:p>
      <w:pPr>
        <w:pStyle w:val="3"/>
        <w:widowControl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年度报告</w:t>
      </w:r>
    </w:p>
    <w:p>
      <w:pPr>
        <w:pStyle w:val="3"/>
        <w:widowControl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年，在区委区政府的正确领导和区政务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服务和大数据管理局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的具体指导下，我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严格按照“公正、公平、便民”的总体原则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“及时、准确”的总体要求，认真贯彻落实《中华人民共和国政府信息公开条例》，并把政府信息公开工作作为建设服务政府、透明政府、阳光政府的重要举措，切实保障人民群众的知情权、监督权和参与权。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W w:w="846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both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年，我局政府信息公开工作取得了新的进展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与公众需求还存在一些差距，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工作人员对政务系统业务不熟悉、相关政策学习培训不到位；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没有配备专职人员进行操作，信息处理公开不及时；三是网上办理覆盖面不广，使用频率不高，信息公开途径单一，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宣传和引导工作需要进一步加强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信息主动公开的时效性有待进一步加强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信息公开内容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针对以上情况，我局将继续完善措施，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我局政府信息公开工作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重点抓好以下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几项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：一是进一步提高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干部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做好政府信息公开工作的认识，提升业务专业素养和政策把握能力。二是加强政务信息工作队伍建设，加强对政府信息公开工作的领导和监督，层层落实责任，定期督查通报，确保把政府信息公开工作落到实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是进一步拓宽信息公开途径。通过网络、微信等多种方式加大民族宗教政策宣传力度，进一步细化信息公开工作流程，拓宽公开渠道，确保操作简便明了，利于查找；引导群众使用互联网平台，有利于群众了解我们的工作以及如何办理相关业务，大大的缩减了群众的办件时间，提升了办事效率。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是进一步健全和完善信息公开各项制度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范和完善政府信息公开的内容、形式，对涉及公众关心的重大问题、重大决策及时公开，同时做好社会热点回应，健全舆情收集、研判和回应机制，对网络舆情、重大突发事件等热点问题，依法按程序进行公开，及时回应群众关切的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提高公开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实效性。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2022年度我局信息公开工作没有其他需要报告事项。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widowControl/>
        <w:wordWrap w:val="0"/>
        <w:adjustRightInd/>
        <w:snapToGrid/>
        <w:spacing w:before="0" w:beforeAutospacing="0" w:after="0" w:afterAutospacing="0" w:line="360" w:lineRule="auto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西塞山区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民族宗教事务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局</w:t>
      </w:r>
    </w:p>
    <w:p>
      <w:pPr>
        <w:pStyle w:val="3"/>
        <w:widowControl/>
        <w:wordWrap w:val="0"/>
        <w:adjustRightInd/>
        <w:snapToGrid/>
        <w:spacing w:before="0" w:beforeAutospacing="0" w:after="0" w:afterAutospacing="0" w:line="360" w:lineRule="auto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  <w:style w:type="paragraph" w:customStyle="1" w:styleId="3">
    <w:name w:val="Normal (Web)"/>
    <w:basedOn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4">
    <w:name w:val="HTML Address"/>
    <w:basedOn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dcterms:modified xsi:type="dcterms:W3CDTF">2023-01-28T10:57:09Z</dcterms:modified>
  <dc:title>WPS_1624785580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777F53E91E564B3B96F5A1A435D08748</vt:lpwstr>
  </property>
</Properties>
</file>