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西塞山区财政局2022年政府信息公开工作年度报告</w:t>
      </w:r>
    </w:p>
    <w:p>
      <w:pPr>
        <w:keepNext w:val="0"/>
        <w:keepLines w:val="0"/>
        <w:pageBreakBefore w:val="0"/>
        <w:widowControl w:val="0"/>
        <w:kinsoku/>
        <w:wordWrap/>
        <w:overflowPunct/>
        <w:topLinePunct w:val="0"/>
        <w:autoSpaceDE/>
        <w:autoSpaceDN/>
        <w:bidi w:val="0"/>
        <w:adjustRightInd w:val="0"/>
        <w:snapToGrid/>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一、总体情况</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本报告由西塞山区财政局根据《中华人民共和国政府信息公开条例》《财政部办公厅关于印发财政预决算领域基层政务公开标准指引的通知》（财办发[2019]77号）的有关规定和要求编制而成。本报告中所列数据统计期限为2022年1月1日至12月31日。</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2"/>
          <w:lang w:eastAsia="zh-CN"/>
        </w:rPr>
        <w:t>2022年，西塞山区财政局坚持以习近平新时代中国特色社会主义思想为指导，认真落实党中央、国务院关于推进新时代政府信息公开的决策部署，在区委、区政府的正确领导下有序推进政务公开标准化、规范化建设，强化组织保障，畅通公开渠道，聚焦重点领域，不断提升</w:t>
      </w:r>
      <w:bookmarkStart w:id="0" w:name="_GoBack"/>
      <w:bookmarkEnd w:id="0"/>
      <w:r>
        <w:rPr>
          <w:rFonts w:hint="eastAsia" w:ascii="仿宋_GB2312" w:eastAsia="仿宋_GB2312"/>
          <w:sz w:val="32"/>
          <w:szCs w:val="32"/>
          <w:lang w:eastAsia="zh-CN"/>
        </w:rPr>
        <w:t>政务公开质效，</w:t>
      </w:r>
      <w:r>
        <w:rPr>
          <w:rFonts w:hint="eastAsia" w:ascii="仿宋_GB2312" w:hAnsi="仿宋_GB2312" w:eastAsia="仿宋_GB2312" w:cs="仿宋_GB2312"/>
          <w:sz w:val="32"/>
          <w:szCs w:val="32"/>
          <w:lang w:val="en-US" w:eastAsia="zh-CN"/>
        </w:rPr>
        <w:t>2022</w:t>
      </w:r>
      <w:r>
        <w:rPr>
          <w:rFonts w:hint="default" w:ascii="仿宋_GB2312" w:hAnsi="仿宋_GB2312" w:eastAsia="仿宋_GB2312" w:cs="仿宋_GB2312"/>
          <w:sz w:val="32"/>
          <w:szCs w:val="32"/>
          <w:lang w:val="en-US" w:eastAsia="zh-CN"/>
        </w:rPr>
        <w:t>年度主动公开</w:t>
      </w:r>
      <w:r>
        <w:rPr>
          <w:rFonts w:hint="eastAsia" w:ascii="仿宋_GB2312" w:hAnsi="仿宋_GB2312" w:eastAsia="仿宋_GB2312" w:cs="仿宋_GB2312"/>
          <w:sz w:val="32"/>
          <w:szCs w:val="32"/>
          <w:lang w:val="en-US" w:eastAsia="zh-CN"/>
        </w:rPr>
        <w:t>区政府本级预决算公开、调整预算情况，共计3项。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tbl>
      <w:tblPr>
        <w:tblStyle w:val="3"/>
        <w:tblW w:w="8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842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210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2105"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210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2105"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3</w:t>
            </w:r>
          </w:p>
        </w:tc>
        <w:tc>
          <w:tcPr>
            <w:tcW w:w="2105"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 </w:t>
            </w:r>
            <w:r>
              <w:rPr>
                <w:rFonts w:hint="eastAsia" w:ascii="宋体" w:hAnsi="宋体" w:eastAsia="宋体" w:cs="宋体"/>
                <w:color w:val="000000"/>
                <w:kern w:val="0"/>
                <w:sz w:val="21"/>
                <w:szCs w:val="21"/>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631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05"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631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631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631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631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631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631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tbl>
      <w:tblPr>
        <w:tblStyle w:val="3"/>
        <w:tblW w:w="846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298"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4171" w:type="dxa"/>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298"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595" w:type="dxa"/>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2980" w:type="dxa"/>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596" w:type="dxa"/>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298"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595" w:type="dxa"/>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60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596" w:type="dxa"/>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3645"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333333"/>
                <w:kern w:val="0"/>
                <w:sz w:val="21"/>
                <w:szCs w:val="21"/>
                <w:lang w:val="en-US" w:eastAsia="zh-CN" w:bidi="ar"/>
              </w:rPr>
              <w:t>（</w:t>
            </w:r>
            <w:r>
              <w:rPr>
                <w:rFonts w:hint="eastAsia" w:asciiTheme="minorEastAsia" w:hAnsiTheme="minorEastAsia" w:cstheme="minorEastAsia"/>
                <w:color w:val="333333"/>
                <w:kern w:val="0"/>
                <w:sz w:val="21"/>
                <w:szCs w:val="21"/>
                <w:lang w:val="en-US" w:eastAsia="zh-CN" w:bidi="ar"/>
              </w:rPr>
              <w:t>一</w:t>
            </w:r>
            <w:r>
              <w:rPr>
                <w:rFonts w:hint="eastAsia" w:asciiTheme="minorEastAsia" w:hAnsiTheme="minorEastAsia" w:eastAsiaTheme="minorEastAsia" w:cstheme="minorEastAsia"/>
                <w:color w:val="333333"/>
                <w:kern w:val="0"/>
                <w:sz w:val="21"/>
                <w:szCs w:val="21"/>
                <w:lang w:val="en-US" w:eastAsia="zh-CN" w:bidi="ar"/>
              </w:rPr>
              <w:t>）</w:t>
            </w:r>
            <w:r>
              <w:rPr>
                <w:rFonts w:hint="eastAsia" w:asciiTheme="minorEastAsia" w:hAnsiTheme="minorEastAsia" w:cstheme="minorEastAsia"/>
                <w:color w:val="333333"/>
                <w:kern w:val="0"/>
                <w:sz w:val="21"/>
                <w:szCs w:val="21"/>
                <w:lang w:val="en-US" w:eastAsia="zh-CN" w:bidi="ar"/>
              </w:rPr>
              <w:t>本年新收政府信息公开申请数量</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645"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w:t>
            </w:r>
            <w:r>
              <w:rPr>
                <w:rFonts w:hint="eastAsia" w:asciiTheme="minorEastAsia" w:hAnsiTheme="minorEastAsia" w:cstheme="minorEastAsia"/>
                <w:color w:val="333333"/>
                <w:kern w:val="0"/>
                <w:sz w:val="21"/>
                <w:szCs w:val="21"/>
                <w:lang w:val="en-US" w:eastAsia="zh-CN" w:bidi="ar"/>
              </w:rPr>
              <w:t>二</w:t>
            </w:r>
            <w:r>
              <w:rPr>
                <w:rFonts w:hint="eastAsia" w:asciiTheme="minorEastAsia" w:hAnsiTheme="minorEastAsia" w:eastAsiaTheme="minorEastAsia" w:cstheme="minorEastAsia"/>
                <w:color w:val="333333"/>
                <w:kern w:val="0"/>
                <w:sz w:val="21"/>
                <w:szCs w:val="21"/>
                <w:lang w:val="en-US" w:eastAsia="zh-CN" w:bidi="ar"/>
              </w:rPr>
              <w:t>）</w:t>
            </w:r>
            <w:r>
              <w:rPr>
                <w:rFonts w:hint="eastAsia" w:asciiTheme="minorEastAsia" w:hAnsiTheme="minorEastAsia" w:cstheme="minorEastAsia"/>
                <w:color w:val="333333"/>
                <w:kern w:val="0"/>
                <w:sz w:val="21"/>
                <w:szCs w:val="21"/>
                <w:lang w:val="en-US" w:eastAsia="zh-CN" w:bidi="ar"/>
              </w:rPr>
              <w:t>上年结转政府信息公开申请数量</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595"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284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77" w:hRule="atLeast"/>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645"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b/>
                <w:bCs/>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b/>
                <w:bCs/>
                <w:sz w:val="21"/>
                <w:szCs w:val="21"/>
                <w:lang w:val="en-US"/>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tbl>
      <w:tblPr>
        <w:tblStyle w:val="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8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568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56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28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28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65"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Theme="minorEastAsia"/>
                <w:lang w:val="en-US" w:eastAsia="zh-CN"/>
              </w:rP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ascii="宋体" w:hAnsi="宋体" w:eastAsia="宋体" w:cs="宋体"/>
                <w:color w:val="333333"/>
                <w:kern w:val="0"/>
                <w:sz w:val="21"/>
                <w:szCs w:val="21"/>
                <w:lang w:val="en-US" w:eastAsia="zh-CN" w:bidi="ar"/>
              </w:rPr>
              <w:t>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lang w:eastAsia="zh-CN"/>
        </w:rPr>
      </w:pPr>
      <w:r>
        <w:rPr>
          <w:rFonts w:hint="eastAsia" w:ascii="黑体" w:hAnsi="黑体" w:eastAsia="黑体" w:cs="黑体"/>
          <w:b w:val="0"/>
          <w:bCs w:val="0"/>
          <w:color w:val="333333"/>
          <w:sz w:val="32"/>
          <w:szCs w:val="32"/>
          <w:lang w:eastAsia="zh-CN"/>
        </w:rPr>
        <w:t>五</w:t>
      </w:r>
      <w:r>
        <w:rPr>
          <w:rFonts w:hint="eastAsia" w:ascii="黑体" w:hAnsi="黑体" w:eastAsia="黑体" w:cs="黑体"/>
          <w:b w:val="0"/>
          <w:bCs w:val="0"/>
          <w:color w:val="333333"/>
          <w:sz w:val="32"/>
          <w:szCs w:val="32"/>
        </w:rPr>
        <w:t>、</w:t>
      </w:r>
      <w:r>
        <w:rPr>
          <w:rFonts w:hint="eastAsia" w:ascii="黑体" w:hAnsi="黑体" w:eastAsia="黑体" w:cs="黑体"/>
          <w:b w:val="0"/>
          <w:bCs w:val="0"/>
          <w:color w:val="333333"/>
          <w:sz w:val="32"/>
          <w:szCs w:val="32"/>
          <w:lang w:eastAsia="zh-CN"/>
        </w:rPr>
        <w:t>存在的问题及改进情况</w:t>
      </w:r>
    </w:p>
    <w:p>
      <w:pPr>
        <w:keepNext w:val="0"/>
        <w:keepLines w:val="0"/>
        <w:pageBreakBefore w:val="0"/>
        <w:widowControl w:val="0"/>
        <w:kinsoku/>
        <w:wordWrap/>
        <w:overflowPunct/>
        <w:topLinePunct w:val="0"/>
        <w:autoSpaceDE/>
        <w:autoSpaceDN/>
        <w:bidi w:val="0"/>
        <w:adjustRightInd w:val="0"/>
        <w:snapToGrid/>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年，我局将</w:t>
      </w:r>
      <w:r>
        <w:rPr>
          <w:rFonts w:hint="eastAsia" w:ascii="仿宋_GB2312" w:hAnsi="仿宋_GB2312" w:eastAsia="仿宋_GB2312" w:cs="仿宋_GB2312"/>
          <w:sz w:val="32"/>
          <w:szCs w:val="32"/>
          <w:lang w:val="en-US" w:eastAsia="zh-CN"/>
        </w:rPr>
        <w:t>进一步</w:t>
      </w:r>
      <w:r>
        <w:rPr>
          <w:rFonts w:hint="default" w:ascii="仿宋_GB2312" w:hAnsi="仿宋_GB2312" w:eastAsia="仿宋_GB2312" w:cs="仿宋_GB2312"/>
          <w:sz w:val="32"/>
          <w:szCs w:val="32"/>
          <w:lang w:val="en-US" w:eastAsia="zh-CN"/>
        </w:rPr>
        <w:t>提高思想，认真学习《财政部办公厅关于印发财政预决算公开领域基层政务公开标准指引的通知》（财办发[2019]77号）和《市财政局关于进一步做好预决算公开工作的通知》（黄财预发[2020]18号）文件，根据公开统一要求，确保预决算公开内容完整性、及时性、公开内容细化程度，切实提高预决算公开工作水平。</w:t>
      </w:r>
    </w:p>
    <w:p>
      <w:pPr>
        <w:keepNext w:val="0"/>
        <w:keepLines w:val="0"/>
        <w:pageBreakBefore w:val="0"/>
        <w:widowControl w:val="0"/>
        <w:kinsoku/>
        <w:wordWrap/>
        <w:overflowPunct/>
        <w:topLinePunct w:val="0"/>
        <w:autoSpaceDE/>
        <w:autoSpaceDN/>
        <w:bidi w:val="0"/>
        <w:adjustRightInd w:val="0"/>
        <w:snapToGrid/>
        <w:ind w:firstLine="640" w:firstLineChars="200"/>
        <w:jc w:val="left"/>
        <w:textAlignment w:val="auto"/>
        <w:rPr>
          <w:rFonts w:hint="default" w:ascii="黑体" w:hAnsi="黑体" w:eastAsia="黑体" w:cs="黑体"/>
          <w:b w:val="0"/>
          <w:bCs w:val="0"/>
          <w:color w:val="333333"/>
          <w:kern w:val="0"/>
          <w:sz w:val="32"/>
          <w:szCs w:val="32"/>
          <w:lang w:val="en-US" w:eastAsia="zh-CN" w:bidi="ar"/>
        </w:rPr>
      </w:pPr>
      <w:r>
        <w:rPr>
          <w:rFonts w:hint="eastAsia" w:ascii="黑体" w:hAnsi="黑体" w:eastAsia="黑体" w:cs="黑体"/>
          <w:b w:val="0"/>
          <w:bCs w:val="0"/>
          <w:color w:val="333333"/>
          <w:kern w:val="0"/>
          <w:sz w:val="32"/>
          <w:szCs w:val="32"/>
          <w:lang w:val="en-US" w:eastAsia="zh-CN" w:bidi="ar"/>
        </w:rPr>
        <w:t>六</w:t>
      </w:r>
      <w:r>
        <w:rPr>
          <w:rFonts w:hint="default" w:ascii="黑体" w:hAnsi="黑体" w:eastAsia="黑体" w:cs="黑体"/>
          <w:b w:val="0"/>
          <w:bCs w:val="0"/>
          <w:color w:val="333333"/>
          <w:kern w:val="0"/>
          <w:sz w:val="32"/>
          <w:szCs w:val="32"/>
          <w:lang w:val="en-US" w:eastAsia="zh-CN" w:bidi="ar"/>
        </w:rPr>
        <w:t>、其他需要报告的事项</w:t>
      </w:r>
    </w:p>
    <w:p>
      <w:pPr>
        <w:keepNext w:val="0"/>
        <w:keepLines w:val="0"/>
        <w:pageBreakBefore w:val="0"/>
        <w:widowControl w:val="0"/>
        <w:kinsoku/>
        <w:wordWrap/>
        <w:overflowPunct/>
        <w:topLinePunct w:val="0"/>
        <w:autoSpaceDE/>
        <w:autoSpaceDN/>
        <w:bidi w:val="0"/>
        <w:adjustRightInd w:val="0"/>
        <w:snapToGrid/>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无其他需要报告的事项。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MzcyOTA5N2U1N2UzODc4MjhkYTgxYzZiZjA0ODQifQ=="/>
  </w:docVars>
  <w:rsids>
    <w:rsidRoot w:val="00000000"/>
    <w:rsid w:val="18ED6346"/>
    <w:rsid w:val="19B00CD1"/>
    <w:rsid w:val="2DAC7B09"/>
    <w:rsid w:val="3D710E4D"/>
    <w:rsid w:val="3EF7364F"/>
    <w:rsid w:val="522122F8"/>
    <w:rsid w:val="592E5B7E"/>
    <w:rsid w:val="6FE841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与荒野</cp:lastModifiedBy>
  <cp:lastPrinted>2023-01-16T07:56:33Z</cp:lastPrinted>
  <dcterms:modified xsi:type="dcterms:W3CDTF">2023-01-16T07:57:11Z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EBD752525DFA47CC935AB914A405DE6A</vt:lpwstr>
  </property>
</Properties>
</file>