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color w:val="FFFFFF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134620</wp:posOffset>
                </wp:positionV>
                <wp:extent cx="5579745" cy="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4pt;margin-top:10.6pt;height:0pt;width:439.35pt;z-index:251659264;mso-width-relative:page;mso-height-relative:page;" filled="f" stroked="f" coordsize="21600,21600" o:gfxdata="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JHcZrTUAAAABwEA&#10;AA8AAAAAAAAAAQAgAAAAIgAAAGRycy9kb3ducmV2LnhtbFBLAQIUABQAAAAIAIdO4kC7rR43rAEA&#10;ADcDAAAOAAAAAAAAAAEAIAAAACMBAABkcnMvZTJvRG9jLnhtbFBLBQYAAAAABgAGAFkBAABBBQAA&#10;AAA=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color w:val="FFFFFF"/>
          <w:sz w:val="32"/>
          <w:szCs w:val="32"/>
          <w:highlight w:val="non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72390</wp:posOffset>
                </wp:positionV>
                <wp:extent cx="5579745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9745" cy="0"/>
                        </a:xfrm>
                        <a:prstGeom prst="straightConnector1">
                          <a:avLst/>
                        </a:prstGeom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45pt;margin-top:5.7pt;height:0pt;width:439.35pt;z-index:251658240;mso-width-relative:page;mso-height-relative:page;" filled="f" stroked="f" coordsize="21600,21600" o:gfxdata="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btzBP0wAAAAcBAAAP&#10;AAAAAAAAAAEAIAAAACIAAABkcnMvZG93bnJldi54bWxQSwECFAAUAAAACACHTuJAv76U+KsBAAA3&#10;AwAADgAAAAAAAAABACAAAAAiAQAAZHJzL2Uyb0RvYy54bWxQSwUGAAAAAAYABgBZAQAAPwUAAAAA&#10;">
                <v:fill on="f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西塞山公安分局2020年政府信息公开工作</w:t>
      </w:r>
    </w:p>
    <w:p>
      <w:pPr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年度报告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总体情况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根据《中华人民共和国政府信息公开条例》相关规定和要求，西塞山公安分局根据职能职责实际，认真贯彻执行各项政府信息公开规定。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二、行政机关主动公开政府信息情况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38"/>
        <w:gridCol w:w="2097"/>
        <w:gridCol w:w="1290"/>
        <w:gridCol w:w="1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制作数量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公开数量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规章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（设区的市、自治州人民政府应提供相关数据）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规范性文件（行政机关制定发布的决定、公告、通告、意见、通知，以及标题采用“规定”“办法”“细则”“规范”“规程”“规则”等字样的公文，一般情况下属于规范性文件）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其他主动公开文件（含以本单位或本单位办公室名义正式签发的、除规范性文件以外的主动公开文件，可参考本单位政府信息公开平台“其他主动公开文件”栏目数据）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行政许可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  <w:t>其他对外管理服务事项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指行政许可以外的政务服务事项，含行政确认、行政奖励、行政裁决、行政给付、行政处罚、行政强制、行政检查、行政征收和其他类，以及公共服务事项</w:t>
            </w: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8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2019年事项数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2020年增加或减少的事项数，减用负值表示，如-8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处理决定数量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2020年办件量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行政处罚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行政强制</w:t>
            </w:r>
          </w:p>
        </w:tc>
        <w:tc>
          <w:tcPr>
            <w:tcW w:w="20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2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3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上一年项目数量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2019年收费项目数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本年增/减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2020年增加的收费项目数，减用负值表示，如-8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行政事业性收费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8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信息内容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采购项目数量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2020年以政府集中采购方式采购的项目总个数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采购总金额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（指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val="en-US" w:eastAsia="zh-CN"/>
              </w:rPr>
              <w:t>2020年以政府集中采购方式采购的项目已支付的总金额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36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highlight w:val="none"/>
              </w:rPr>
              <w:t>政府集中采购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三、行政机关收到和处理政府信息公开申请情况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722"/>
        <w:gridCol w:w="2212"/>
        <w:gridCol w:w="607"/>
        <w:gridCol w:w="690"/>
        <w:gridCol w:w="690"/>
        <w:gridCol w:w="750"/>
        <w:gridCol w:w="905"/>
        <w:gridCol w:w="671"/>
        <w:gridCol w:w="6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97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自然人</w:t>
            </w:r>
          </w:p>
        </w:tc>
        <w:tc>
          <w:tcPr>
            <w:tcW w:w="37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法人或其他组织</w:t>
            </w:r>
          </w:p>
        </w:tc>
        <w:tc>
          <w:tcPr>
            <w:tcW w:w="6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07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商业企业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科研机构</w:t>
            </w: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社会公益组织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法律服务机构</w:t>
            </w: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其他</w:t>
            </w:r>
          </w:p>
        </w:tc>
        <w:tc>
          <w:tcPr>
            <w:tcW w:w="6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一、本年新收政府信息公开申请数量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二、上年结转政府信息公开申请数量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三、本年度办理结果</w:t>
            </w: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（一）予以公开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（三）不予公开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1.属于国家秘密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2.其他法律行政法规禁止公开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3.危及“三安全一稳定”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4.保护第三方合法权益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5.属于三类内部事务信息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6.属于四类过程性信息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7.属于行政执法案卷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8.属于行政查询事项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（四）无法提供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1.本机关不掌握相关政府信息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2.没有现成信息需要另行制作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3.补正后申请内容仍不明确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（五）不予处理</w:t>
            </w: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1.信访举报投诉类申请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2.重复申请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3.要求提供公开出版物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4.无正当理由大量反复申请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2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5.要求行政机关确认或重新出具已获取信息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（六）其他处理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6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29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（七）总计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35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highlight w:val="none"/>
              </w:rPr>
              <w:t>四、结转下年度继续办理</w:t>
            </w:r>
          </w:p>
        </w:tc>
        <w:tc>
          <w:tcPr>
            <w:tcW w:w="6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7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333333"/>
                <w:kern w:val="0"/>
                <w:sz w:val="21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四、因政府信息公开工作被申请行政复议、提起行政诉讼情况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564"/>
        <w:gridCol w:w="564"/>
        <w:gridCol w:w="564"/>
        <w:gridCol w:w="625"/>
        <w:gridCol w:w="515"/>
        <w:gridCol w:w="567"/>
        <w:gridCol w:w="567"/>
        <w:gridCol w:w="567"/>
        <w:gridCol w:w="574"/>
        <w:gridCol w:w="567"/>
        <w:gridCol w:w="568"/>
        <w:gridCol w:w="568"/>
        <w:gridCol w:w="568"/>
        <w:gridCol w:w="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8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56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4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2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7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2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Calibri" w:hAnsi="Calibri" w:eastAsia="宋体" w:cs="Times New Roman"/>
                <w:color w:val="333333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5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rPr>
                <w:rFonts w:ascii="宋体" w:hAnsi="宋体" w:eastAsia="宋体" w:cs="宋体"/>
                <w:color w:val="333333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五、政府信息公开工作存在的问题及改进情况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2020年，西塞山公安分局政府信息公开工作严格按照上级要求落实，但随着群众对政务信息公开工作的需求不断增长，我局政务公开工作人员对政务信息公开内容等相关业务有待熟练，从而更新不够及时。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2021年，我局将加强组织领导，持续学习贯彻《中华人民共和国政府信息公开条例》，严格按照上级要求落实相关工作，不断健全完善规范政务公开工作，加强对相关工作人员的培训学习，提高其业务能力。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无其他需要报告事项</w:t>
      </w:r>
    </w:p>
    <w:p/>
    <w:sectPr>
      <w:headerReference r:id="rId3" w:type="default"/>
      <w:footerReference r:id="rId4" w:type="default"/>
      <w:pgSz w:w="11906" w:h="16838"/>
      <w:pgMar w:top="1474" w:right="1417" w:bottom="158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after="0" w:afterLines="0"/>
    </w:pPr>
    <w:r>
      <w:fldChar w:fldCharType="begin"/>
    </w:r>
    <w:r>
      <w:instrText xml:space="preserve"> PAGE  </w:instrText>
    </w:r>
    <w:r>
      <w:fldChar w:fldCharType="separate"/>
    </w:r>
    <w: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4960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22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2021-01-28T07:43:21Z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