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sz w:val="44"/>
          <w:szCs w:val="44"/>
        </w:rPr>
      </w:pPr>
      <w:r>
        <w:rPr>
          <w:rFonts w:hint="eastAsia" w:ascii="方正大标宋简体" w:hAnsi="方正大标宋简体" w:eastAsia="方正大标宋简体" w:cs="方正大标宋简体"/>
          <w:b w:val="0"/>
          <w:bCs/>
          <w:i w:val="0"/>
          <w:caps w:val="0"/>
          <w:color w:val="auto"/>
          <w:spacing w:val="0"/>
          <w:sz w:val="44"/>
          <w:szCs w:val="44"/>
          <w:shd w:val="clear" w:fill="FFFFFF"/>
        </w:rPr>
        <w:t>20</w:t>
      </w:r>
      <w:r>
        <w:rPr>
          <w:rFonts w:hint="eastAsia" w:ascii="方正大标宋简体" w:hAnsi="方正大标宋简体" w:eastAsia="方正大标宋简体" w:cs="方正大标宋简体"/>
          <w:b w:val="0"/>
          <w:bCs/>
          <w:i w:val="0"/>
          <w:caps w:val="0"/>
          <w:color w:val="auto"/>
          <w:spacing w:val="0"/>
          <w:sz w:val="44"/>
          <w:szCs w:val="44"/>
          <w:shd w:val="clear" w:fill="FFFFFF"/>
          <w:lang w:val="en-US" w:eastAsia="zh-CN"/>
        </w:rPr>
        <w:t>20</w:t>
      </w:r>
      <w:r>
        <w:rPr>
          <w:rFonts w:hint="eastAsia" w:ascii="方正大标宋简体" w:hAnsi="方正大标宋简体" w:eastAsia="方正大标宋简体" w:cs="方正大标宋简体"/>
          <w:b w:val="0"/>
          <w:bCs/>
          <w:i w:val="0"/>
          <w:caps w:val="0"/>
          <w:color w:val="auto"/>
          <w:spacing w:val="0"/>
          <w:sz w:val="44"/>
          <w:szCs w:val="44"/>
          <w:shd w:val="clear" w:fill="FFFFFF"/>
        </w:rPr>
        <w:t>年信息公开工作年度报告</w:t>
      </w:r>
    </w:p>
    <w:p>
      <w:pPr>
        <w:ind w:firstLine="480" w:firstLineChars="200"/>
        <w:jc w:val="center"/>
        <w:rPr>
          <w:rFonts w:hint="eastAsia" w:ascii="楷体" w:hAnsi="楷体" w:eastAsia="楷体" w:cs="楷体"/>
          <w:i w:val="0"/>
          <w:caps w:val="0"/>
          <w:color w:val="auto"/>
          <w:spacing w:val="0"/>
          <w:sz w:val="24"/>
          <w:szCs w:val="24"/>
          <w:shd w:val="clear" w:fill="FFFFFF"/>
        </w:rPr>
      </w:pPr>
    </w:p>
    <w:p>
      <w:pPr>
        <w:jc w:val="center"/>
        <w:rPr>
          <w:rFonts w:hint="eastAsia" w:ascii="楷体" w:hAnsi="楷体" w:eastAsia="楷体" w:cs="楷体"/>
          <w:b w:val="0"/>
          <w:bCs w:val="0"/>
          <w:i w:val="0"/>
          <w:caps w:val="0"/>
          <w:color w:val="auto"/>
          <w:spacing w:val="0"/>
          <w:sz w:val="30"/>
          <w:szCs w:val="30"/>
          <w:shd w:val="clear" w:fill="FFFFFF"/>
          <w:lang w:eastAsia="zh-CN"/>
        </w:rPr>
      </w:pPr>
      <w:r>
        <w:rPr>
          <w:rFonts w:hint="eastAsia" w:ascii="楷体" w:hAnsi="楷体" w:eastAsia="楷体" w:cs="楷体"/>
          <w:b w:val="0"/>
          <w:bCs w:val="0"/>
          <w:i w:val="0"/>
          <w:caps w:val="0"/>
          <w:color w:val="auto"/>
          <w:spacing w:val="0"/>
          <w:sz w:val="30"/>
          <w:szCs w:val="30"/>
          <w:shd w:val="clear" w:fill="FFFFFF"/>
          <w:lang w:eastAsia="zh-CN"/>
        </w:rPr>
        <w:t>西塞山区科学技术和经济信息化局</w:t>
      </w:r>
    </w:p>
    <w:p>
      <w:pPr>
        <w:ind w:firstLine="3000" w:firstLineChars="1000"/>
        <w:jc w:val="both"/>
        <w:rPr>
          <w:rFonts w:hint="eastAsia" w:ascii="楷体" w:hAnsi="楷体" w:eastAsia="楷体" w:cs="楷体"/>
          <w:b w:val="0"/>
          <w:bCs w:val="0"/>
          <w:i w:val="0"/>
          <w:caps w:val="0"/>
          <w:color w:val="auto"/>
          <w:spacing w:val="0"/>
          <w:sz w:val="30"/>
          <w:szCs w:val="30"/>
          <w:shd w:val="clear" w:fill="FFFFFF"/>
          <w:lang w:eastAsia="zh-CN"/>
        </w:rPr>
      </w:pPr>
      <w:r>
        <w:rPr>
          <w:rFonts w:hint="eastAsia" w:ascii="楷体" w:hAnsi="楷体" w:eastAsia="楷体" w:cs="楷体"/>
          <w:b w:val="0"/>
          <w:bCs w:val="0"/>
          <w:i w:val="0"/>
          <w:caps w:val="0"/>
          <w:color w:val="auto"/>
          <w:spacing w:val="0"/>
          <w:sz w:val="30"/>
          <w:szCs w:val="30"/>
          <w:shd w:val="clear" w:fill="FFFFFF"/>
          <w:lang w:eastAsia="zh-CN"/>
        </w:rPr>
        <w:t>（</w:t>
      </w:r>
      <w:r>
        <w:rPr>
          <w:rFonts w:hint="eastAsia" w:ascii="楷体" w:hAnsi="楷体" w:eastAsia="楷体" w:cs="楷体"/>
          <w:b w:val="0"/>
          <w:bCs w:val="0"/>
          <w:i w:val="0"/>
          <w:caps w:val="0"/>
          <w:color w:val="auto"/>
          <w:spacing w:val="0"/>
          <w:sz w:val="30"/>
          <w:szCs w:val="30"/>
          <w:shd w:val="clear" w:fill="FFFFFF"/>
          <w:lang w:val="en-US" w:eastAsia="zh-CN"/>
        </w:rPr>
        <w:t>2021年1月</w:t>
      </w:r>
      <w:r>
        <w:rPr>
          <w:rFonts w:hint="eastAsia" w:ascii="楷体" w:hAnsi="楷体" w:eastAsia="楷体" w:cs="楷体"/>
          <w:b w:val="0"/>
          <w:bCs w:val="0"/>
          <w:i w:val="0"/>
          <w:caps w:val="0"/>
          <w:color w:val="auto"/>
          <w:spacing w:val="0"/>
          <w:sz w:val="30"/>
          <w:szCs w:val="30"/>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b w:val="0"/>
          <w:bCs w:val="0"/>
          <w:i w:val="0"/>
          <w:caps w:val="0"/>
          <w:color w:val="auto"/>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rPr>
      </w:pPr>
      <w:r>
        <w:rPr>
          <w:rFonts w:hint="eastAsia" w:ascii="仿宋_GB2312" w:hAnsi="仿宋_GB2312" w:eastAsia="仿宋_GB2312" w:cs="仿宋_GB2312"/>
          <w:i w:val="0"/>
          <w:caps w:val="0"/>
          <w:color w:val="auto"/>
          <w:spacing w:val="0"/>
          <w:sz w:val="30"/>
          <w:szCs w:val="30"/>
          <w:shd w:val="clear" w:fill="FFFFFF"/>
        </w:rPr>
        <w:t>按照《中华人民共和国政府信息公开条例》</w:t>
      </w:r>
      <w:r>
        <w:rPr>
          <w:rFonts w:hint="eastAsia" w:ascii="仿宋_GB2312" w:hAnsi="仿宋_GB2312" w:eastAsia="仿宋_GB2312" w:cs="仿宋_GB2312"/>
          <w:i w:val="0"/>
          <w:caps w:val="0"/>
          <w:color w:val="auto"/>
          <w:spacing w:val="0"/>
          <w:sz w:val="30"/>
          <w:szCs w:val="30"/>
          <w:shd w:val="clear" w:fill="FFFFFF"/>
          <w:lang w:eastAsia="zh-CN"/>
        </w:rPr>
        <w:t>、市政务公开办公室</w:t>
      </w:r>
      <w:r>
        <w:rPr>
          <w:rFonts w:hint="eastAsia" w:ascii="仿宋_GB2312" w:hAnsi="仿宋_GB2312" w:eastAsia="仿宋_GB2312" w:cs="仿宋_GB2312"/>
          <w:i w:val="0"/>
          <w:caps w:val="0"/>
          <w:color w:val="auto"/>
          <w:spacing w:val="0"/>
          <w:sz w:val="30"/>
          <w:szCs w:val="30"/>
          <w:shd w:val="clear" w:fill="FFFFFF"/>
        </w:rPr>
        <w:t>《关于做好20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rPr>
        <w:t>年</w:t>
      </w:r>
      <w:r>
        <w:rPr>
          <w:rFonts w:hint="eastAsia" w:ascii="仿宋_GB2312" w:hAnsi="仿宋_GB2312" w:eastAsia="仿宋_GB2312" w:cs="仿宋_GB2312"/>
          <w:i w:val="0"/>
          <w:caps w:val="0"/>
          <w:color w:val="auto"/>
          <w:spacing w:val="0"/>
          <w:sz w:val="30"/>
          <w:szCs w:val="30"/>
          <w:shd w:val="clear" w:fill="FFFFFF"/>
          <w:lang w:eastAsia="zh-CN"/>
        </w:rPr>
        <w:t>黄石市</w:t>
      </w:r>
      <w:r>
        <w:rPr>
          <w:rFonts w:hint="eastAsia" w:ascii="仿宋_GB2312" w:hAnsi="仿宋_GB2312" w:eastAsia="仿宋_GB2312" w:cs="仿宋_GB2312"/>
          <w:i w:val="0"/>
          <w:caps w:val="0"/>
          <w:color w:val="auto"/>
          <w:spacing w:val="0"/>
          <w:sz w:val="30"/>
          <w:szCs w:val="30"/>
          <w:shd w:val="clear" w:fill="FFFFFF"/>
        </w:rPr>
        <w:t>政府信息公开工作年度报告编制和发布工作的通知》和</w:t>
      </w:r>
      <w:r>
        <w:rPr>
          <w:rFonts w:hint="eastAsia" w:ascii="仿宋_GB2312" w:hAnsi="仿宋_GB2312" w:eastAsia="仿宋_GB2312" w:cs="仿宋_GB2312"/>
          <w:i w:val="0"/>
          <w:caps w:val="0"/>
          <w:color w:val="auto"/>
          <w:spacing w:val="0"/>
          <w:sz w:val="30"/>
          <w:szCs w:val="30"/>
          <w:shd w:val="clear" w:fill="FFFFFF"/>
          <w:lang w:eastAsia="zh-CN"/>
        </w:rPr>
        <w:t>区政务公开领导小组</w:t>
      </w:r>
      <w:r>
        <w:rPr>
          <w:rFonts w:hint="eastAsia" w:ascii="仿宋_GB2312" w:hAnsi="仿宋_GB2312" w:eastAsia="仿宋_GB2312" w:cs="仿宋_GB2312"/>
          <w:i w:val="0"/>
          <w:caps w:val="0"/>
          <w:color w:val="auto"/>
          <w:spacing w:val="0"/>
          <w:sz w:val="30"/>
          <w:szCs w:val="30"/>
          <w:shd w:val="clear" w:fill="FFFFFF"/>
        </w:rPr>
        <w:t>《关于做好20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rPr>
        <w:t>年政府信息公开工作年度报告编制和发布工作的通知》要求，编制发布本报告。本报告数据统计时限为20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rPr>
        <w:t>年1月1日起至20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rPr>
        <w:t>年12月31日止。</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 w:val="0"/>
          <w:bCs w:val="0"/>
          <w:i w:val="0"/>
          <w:caps w:val="0"/>
          <w:color w:val="auto"/>
          <w:spacing w:val="0"/>
          <w:sz w:val="30"/>
          <w:szCs w:val="30"/>
          <w:shd w:val="clear" w:fill="FFFFFF"/>
        </w:rPr>
      </w:pPr>
      <w:r>
        <w:rPr>
          <w:rFonts w:hint="eastAsia" w:ascii="黑体" w:hAnsi="黑体" w:eastAsia="黑体" w:cs="黑体"/>
          <w:b w:val="0"/>
          <w:bCs w:val="0"/>
          <w:i w:val="0"/>
          <w:caps w:val="0"/>
          <w:color w:val="auto"/>
          <w:spacing w:val="0"/>
          <w:sz w:val="30"/>
          <w:szCs w:val="30"/>
          <w:shd w:val="clear" w:fill="FFFFFF"/>
        </w:rPr>
        <w:t>一、总体情况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rPr>
        <w:t>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rPr>
        <w:t>年，在</w:t>
      </w:r>
      <w:r>
        <w:rPr>
          <w:rFonts w:hint="eastAsia" w:ascii="仿宋_GB2312" w:hAnsi="仿宋_GB2312" w:eastAsia="仿宋_GB2312" w:cs="仿宋_GB2312"/>
          <w:i w:val="0"/>
          <w:caps w:val="0"/>
          <w:color w:val="auto"/>
          <w:spacing w:val="0"/>
          <w:sz w:val="30"/>
          <w:szCs w:val="30"/>
          <w:shd w:val="clear" w:fill="FFFFFF"/>
          <w:lang w:eastAsia="zh-CN"/>
        </w:rPr>
        <w:t>区</w:t>
      </w:r>
      <w:r>
        <w:rPr>
          <w:rFonts w:hint="eastAsia" w:ascii="仿宋_GB2312" w:hAnsi="仿宋_GB2312" w:eastAsia="仿宋_GB2312" w:cs="仿宋_GB2312"/>
          <w:i w:val="0"/>
          <w:caps w:val="0"/>
          <w:color w:val="auto"/>
          <w:spacing w:val="0"/>
          <w:sz w:val="30"/>
          <w:szCs w:val="30"/>
          <w:shd w:val="clear" w:fill="FFFFFF"/>
        </w:rPr>
        <w:t>委、</w:t>
      </w:r>
      <w:r>
        <w:rPr>
          <w:rFonts w:hint="eastAsia" w:ascii="仿宋_GB2312" w:hAnsi="仿宋_GB2312" w:eastAsia="仿宋_GB2312" w:cs="仿宋_GB2312"/>
          <w:i w:val="0"/>
          <w:caps w:val="0"/>
          <w:color w:val="auto"/>
          <w:spacing w:val="0"/>
          <w:sz w:val="30"/>
          <w:szCs w:val="30"/>
          <w:shd w:val="clear" w:fill="FFFFFF"/>
          <w:lang w:eastAsia="zh-CN"/>
        </w:rPr>
        <w:t>区</w:t>
      </w:r>
      <w:r>
        <w:rPr>
          <w:rFonts w:hint="eastAsia" w:ascii="仿宋_GB2312" w:hAnsi="仿宋_GB2312" w:eastAsia="仿宋_GB2312" w:cs="仿宋_GB2312"/>
          <w:i w:val="0"/>
          <w:caps w:val="0"/>
          <w:color w:val="auto"/>
          <w:spacing w:val="0"/>
          <w:sz w:val="30"/>
          <w:szCs w:val="30"/>
          <w:shd w:val="clear" w:fill="FFFFFF"/>
        </w:rPr>
        <w:t>政府的正确领导下，</w:t>
      </w:r>
      <w:r>
        <w:rPr>
          <w:rFonts w:hint="eastAsia" w:ascii="仿宋_GB2312" w:hAnsi="仿宋_GB2312" w:eastAsia="仿宋_GB2312" w:cs="仿宋_GB2312"/>
          <w:i w:val="0"/>
          <w:caps w:val="0"/>
          <w:color w:val="auto"/>
          <w:spacing w:val="0"/>
          <w:sz w:val="30"/>
          <w:szCs w:val="30"/>
          <w:shd w:val="clear" w:fill="FFFFFF"/>
          <w:lang w:eastAsia="zh-CN"/>
        </w:rPr>
        <w:t>区科信局</w:t>
      </w:r>
      <w:r>
        <w:rPr>
          <w:rFonts w:hint="eastAsia" w:ascii="仿宋_GB2312" w:hAnsi="仿宋_GB2312" w:eastAsia="仿宋_GB2312" w:cs="仿宋_GB2312"/>
          <w:i w:val="0"/>
          <w:caps w:val="0"/>
          <w:color w:val="auto"/>
          <w:spacing w:val="0"/>
          <w:sz w:val="30"/>
          <w:szCs w:val="30"/>
          <w:shd w:val="clear" w:fill="FFFFFF"/>
        </w:rPr>
        <w:t>高度重视信息公开工作，成立了由局长任组长，分管副局长任副组长，各科室负责人和办公室专职人员为成员的政务信息公开工作领导小组。</w:t>
      </w:r>
      <w:r>
        <w:rPr>
          <w:rFonts w:hint="eastAsia" w:ascii="仿宋_GB2312" w:hAnsi="仿宋_GB2312" w:eastAsia="仿宋_GB2312" w:cs="仿宋_GB2312"/>
          <w:i w:val="0"/>
          <w:caps w:val="0"/>
          <w:color w:val="auto"/>
          <w:spacing w:val="0"/>
          <w:sz w:val="30"/>
          <w:szCs w:val="30"/>
          <w:shd w:val="clear" w:fill="FFFFFF"/>
          <w:lang w:eastAsia="zh-CN"/>
        </w:rPr>
        <w:t>办公室设在局党政办</w:t>
      </w:r>
      <w:r>
        <w:rPr>
          <w:rFonts w:hint="eastAsia" w:ascii="仿宋_GB2312" w:hAnsi="仿宋_GB2312" w:eastAsia="仿宋_GB2312" w:cs="仿宋_GB2312"/>
          <w:i w:val="0"/>
          <w:caps w:val="0"/>
          <w:color w:val="auto"/>
          <w:spacing w:val="0"/>
          <w:sz w:val="30"/>
          <w:szCs w:val="30"/>
          <w:shd w:val="clear" w:fill="FFFFFF"/>
        </w:rPr>
        <w:t>，安排专人具体负责</w:t>
      </w:r>
      <w:r>
        <w:rPr>
          <w:rFonts w:hint="eastAsia" w:ascii="仿宋_GB2312" w:hAnsi="仿宋_GB2312" w:eastAsia="仿宋_GB2312" w:cs="仿宋_GB2312"/>
          <w:i w:val="0"/>
          <w:caps w:val="0"/>
          <w:color w:val="auto"/>
          <w:spacing w:val="0"/>
          <w:sz w:val="30"/>
          <w:szCs w:val="30"/>
          <w:shd w:val="clear" w:fill="FFFFFF"/>
          <w:lang w:eastAsia="zh-CN"/>
        </w:rPr>
        <w:t>区科信局</w:t>
      </w:r>
      <w:r>
        <w:rPr>
          <w:rFonts w:hint="eastAsia" w:ascii="仿宋_GB2312" w:hAnsi="仿宋_GB2312" w:eastAsia="仿宋_GB2312" w:cs="仿宋_GB2312"/>
          <w:i w:val="0"/>
          <w:caps w:val="0"/>
          <w:color w:val="auto"/>
          <w:spacing w:val="0"/>
          <w:sz w:val="30"/>
          <w:szCs w:val="30"/>
          <w:shd w:val="clear" w:fill="FFFFFF"/>
        </w:rPr>
        <w:t>政务信息公开的日常事务，实现了政务信息发布、依申请公开受理、政务信息咨询等工作的一体化管理。从信息公开工作的深度、广度和力度上都有了进一步的提升。在完善信息公开制度，规范和深化信息公开内容，规范信息公开申请和处理流程，拓展信息公开形式等方面取得了初步成效。</w:t>
      </w:r>
      <w:r>
        <w:rPr>
          <w:rFonts w:hint="eastAsia" w:ascii="仿宋_GB2312" w:hAnsi="仿宋_GB2312" w:eastAsia="仿宋_GB2312" w:cs="仿宋_GB2312"/>
          <w:i w:val="0"/>
          <w:caps w:val="0"/>
          <w:color w:val="auto"/>
          <w:spacing w:val="0"/>
          <w:sz w:val="30"/>
          <w:szCs w:val="30"/>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rPr>
      </w:pPr>
      <w:r>
        <w:rPr>
          <w:rFonts w:hint="eastAsia" w:ascii="仿宋_GB2312" w:hAnsi="仿宋_GB2312" w:eastAsia="仿宋_GB2312" w:cs="仿宋_GB2312"/>
          <w:i w:val="0"/>
          <w:caps w:val="0"/>
          <w:color w:val="auto"/>
          <w:spacing w:val="0"/>
          <w:sz w:val="30"/>
          <w:szCs w:val="30"/>
          <w:shd w:val="clear" w:fill="FFFFFF"/>
          <w:lang w:val="en-US" w:eastAsia="zh-CN"/>
        </w:rPr>
        <w:t xml:space="preserve"> </w:t>
      </w:r>
      <w:r>
        <w:rPr>
          <w:rFonts w:hint="eastAsia" w:ascii="仿宋_GB2312" w:hAnsi="仿宋_GB2312" w:eastAsia="仿宋_GB2312" w:cs="仿宋_GB2312"/>
          <w:i w:val="0"/>
          <w:caps w:val="0"/>
          <w:color w:val="auto"/>
          <w:spacing w:val="0"/>
          <w:sz w:val="30"/>
          <w:szCs w:val="30"/>
          <w:shd w:val="clear" w:fill="FFFFFF"/>
        </w:rPr>
        <w:t>为确保政府信息公开工作能够上台阶、上水平，使信息公开工作主体责任层层压实。</w:t>
      </w:r>
      <w:r>
        <w:rPr>
          <w:rFonts w:hint="eastAsia" w:ascii="仿宋_GB2312" w:hAnsi="仿宋_GB2312" w:eastAsia="仿宋_GB2312" w:cs="仿宋_GB2312"/>
          <w:i w:val="0"/>
          <w:caps w:val="0"/>
          <w:color w:val="auto"/>
          <w:spacing w:val="0"/>
          <w:sz w:val="30"/>
          <w:szCs w:val="30"/>
          <w:shd w:val="clear" w:fill="FFFFFF"/>
          <w:lang w:eastAsia="zh-CN"/>
        </w:rPr>
        <w:t>要求</w:t>
      </w:r>
      <w:r>
        <w:rPr>
          <w:rFonts w:hint="eastAsia" w:ascii="仿宋_GB2312" w:hAnsi="仿宋_GB2312" w:eastAsia="仿宋_GB2312" w:cs="仿宋_GB2312"/>
          <w:i w:val="0"/>
          <w:caps w:val="0"/>
          <w:color w:val="auto"/>
          <w:spacing w:val="0"/>
          <w:sz w:val="30"/>
          <w:szCs w:val="30"/>
          <w:shd w:val="clear" w:fill="FFFFFF"/>
        </w:rPr>
        <w:t>各科室信息员按照职责范围和信息量来源，完成相应的任务</w:t>
      </w:r>
      <w:r>
        <w:rPr>
          <w:rFonts w:hint="eastAsia" w:ascii="仿宋_GB2312" w:hAnsi="仿宋_GB2312" w:eastAsia="仿宋_GB2312" w:cs="仿宋_GB2312"/>
          <w:i w:val="0"/>
          <w:caps w:val="0"/>
          <w:color w:val="auto"/>
          <w:spacing w:val="0"/>
          <w:sz w:val="30"/>
          <w:szCs w:val="30"/>
          <w:shd w:val="clear" w:fill="FFFFFF"/>
          <w:lang w:eastAsia="zh-CN"/>
        </w:rPr>
        <w:t>。</w:t>
      </w:r>
      <w:r>
        <w:rPr>
          <w:rFonts w:hint="eastAsia" w:ascii="仿宋_GB2312" w:hAnsi="仿宋_GB2312" w:eastAsia="仿宋_GB2312" w:cs="仿宋_GB2312"/>
          <w:i w:val="0"/>
          <w:caps w:val="0"/>
          <w:color w:val="auto"/>
          <w:spacing w:val="0"/>
          <w:sz w:val="30"/>
          <w:szCs w:val="30"/>
          <w:shd w:val="clear" w:fill="FFFFFF"/>
        </w:rPr>
        <w:t>对各科室信息报送情况</w:t>
      </w:r>
      <w:r>
        <w:rPr>
          <w:rFonts w:hint="eastAsia" w:ascii="仿宋_GB2312" w:hAnsi="仿宋_GB2312" w:eastAsia="仿宋_GB2312" w:cs="仿宋_GB2312"/>
          <w:i w:val="0"/>
          <w:caps w:val="0"/>
          <w:color w:val="auto"/>
          <w:spacing w:val="0"/>
          <w:sz w:val="30"/>
          <w:szCs w:val="30"/>
          <w:shd w:val="clear" w:fill="FFFFFF"/>
          <w:lang w:eastAsia="zh-CN"/>
        </w:rPr>
        <w:t>（如：会议活动简报</w:t>
      </w:r>
      <w:r>
        <w:rPr>
          <w:rFonts w:hint="eastAsia" w:ascii="仿宋_GB2312" w:hAnsi="仿宋_GB2312" w:eastAsia="仿宋_GB2312" w:cs="仿宋_GB2312"/>
          <w:i w:val="0"/>
          <w:caps w:val="0"/>
          <w:color w:val="auto"/>
          <w:spacing w:val="0"/>
          <w:sz w:val="30"/>
          <w:szCs w:val="30"/>
          <w:shd w:val="clear" w:fill="FFFFFF"/>
        </w:rPr>
        <w:t>采用情况</w:t>
      </w:r>
      <w:r>
        <w:rPr>
          <w:rFonts w:hint="eastAsia" w:ascii="仿宋_GB2312" w:hAnsi="仿宋_GB2312" w:eastAsia="仿宋_GB2312" w:cs="仿宋_GB2312"/>
          <w:i w:val="0"/>
          <w:caps w:val="0"/>
          <w:color w:val="auto"/>
          <w:spacing w:val="0"/>
          <w:sz w:val="30"/>
          <w:szCs w:val="30"/>
          <w:shd w:val="clear" w:fill="FFFFFF"/>
          <w:lang w:eastAsia="zh-CN"/>
        </w:rPr>
        <w:t>，</w:t>
      </w:r>
      <w:r>
        <w:rPr>
          <w:rFonts w:hint="eastAsia" w:ascii="仿宋_GB2312" w:hAnsi="仿宋_GB2312" w:eastAsia="仿宋_GB2312" w:cs="仿宋_GB2312"/>
          <w:i w:val="0"/>
          <w:caps w:val="0"/>
          <w:color w:val="auto"/>
          <w:spacing w:val="0"/>
          <w:sz w:val="30"/>
          <w:szCs w:val="30"/>
          <w:shd w:val="clear" w:fill="FFFFFF"/>
        </w:rPr>
        <w:t>对突发性事件</w:t>
      </w:r>
      <w:r>
        <w:rPr>
          <w:rFonts w:hint="eastAsia" w:ascii="仿宋_GB2312" w:hAnsi="仿宋_GB2312" w:eastAsia="仿宋_GB2312" w:cs="仿宋_GB2312"/>
          <w:i w:val="0"/>
          <w:caps w:val="0"/>
          <w:color w:val="auto"/>
          <w:spacing w:val="0"/>
          <w:sz w:val="30"/>
          <w:szCs w:val="30"/>
          <w:shd w:val="clear" w:fill="FFFFFF"/>
          <w:lang w:eastAsia="zh-CN"/>
        </w:rPr>
        <w:t>信访舆情处置情况</w:t>
      </w:r>
      <w:r>
        <w:rPr>
          <w:rFonts w:hint="eastAsia" w:ascii="仿宋_GB2312" w:hAnsi="仿宋_GB2312" w:eastAsia="仿宋_GB2312" w:cs="仿宋_GB2312"/>
          <w:i w:val="0"/>
          <w:caps w:val="0"/>
          <w:color w:val="auto"/>
          <w:spacing w:val="0"/>
          <w:sz w:val="30"/>
          <w:szCs w:val="30"/>
          <w:shd w:val="clear" w:fill="FFFFFF"/>
        </w:rPr>
        <w:t>、经济</w:t>
      </w:r>
      <w:r>
        <w:rPr>
          <w:rFonts w:hint="eastAsia" w:ascii="仿宋_GB2312" w:hAnsi="仿宋_GB2312" w:eastAsia="仿宋_GB2312" w:cs="仿宋_GB2312"/>
          <w:i w:val="0"/>
          <w:caps w:val="0"/>
          <w:color w:val="auto"/>
          <w:spacing w:val="0"/>
          <w:sz w:val="30"/>
          <w:szCs w:val="30"/>
          <w:shd w:val="clear" w:fill="FFFFFF"/>
          <w:lang w:eastAsia="zh-CN"/>
        </w:rPr>
        <w:t>分析相关材料报送情况、</w:t>
      </w:r>
      <w:r>
        <w:rPr>
          <w:rFonts w:hint="eastAsia" w:ascii="仿宋_GB2312" w:hAnsi="仿宋_GB2312" w:eastAsia="仿宋_GB2312" w:cs="仿宋_GB2312"/>
          <w:i w:val="0"/>
          <w:caps w:val="0"/>
          <w:color w:val="auto"/>
          <w:spacing w:val="0"/>
          <w:sz w:val="30"/>
          <w:szCs w:val="30"/>
          <w:shd w:val="clear" w:fill="FFFFFF"/>
        </w:rPr>
        <w:t>以及其他重要紧急情况</w:t>
      </w:r>
      <w:r>
        <w:rPr>
          <w:rFonts w:hint="eastAsia" w:ascii="仿宋_GB2312" w:hAnsi="仿宋_GB2312" w:eastAsia="仿宋_GB2312" w:cs="仿宋_GB2312"/>
          <w:i w:val="0"/>
          <w:caps w:val="0"/>
          <w:color w:val="auto"/>
          <w:spacing w:val="0"/>
          <w:sz w:val="30"/>
          <w:szCs w:val="30"/>
          <w:shd w:val="clear" w:fill="FFFFFF"/>
          <w:lang w:eastAsia="zh-CN"/>
        </w:rPr>
        <w:t>）的</w:t>
      </w:r>
      <w:r>
        <w:rPr>
          <w:rFonts w:hint="eastAsia" w:ascii="仿宋_GB2312" w:hAnsi="仿宋_GB2312" w:eastAsia="仿宋_GB2312" w:cs="仿宋_GB2312"/>
          <w:i w:val="0"/>
          <w:caps w:val="0"/>
          <w:color w:val="auto"/>
          <w:spacing w:val="0"/>
          <w:sz w:val="30"/>
          <w:szCs w:val="30"/>
          <w:shd w:val="clear" w:fill="FFFFFF"/>
        </w:rPr>
        <w:t>及时</w:t>
      </w:r>
      <w:r>
        <w:rPr>
          <w:rFonts w:hint="eastAsia" w:ascii="仿宋_GB2312" w:hAnsi="仿宋_GB2312" w:eastAsia="仿宋_GB2312" w:cs="仿宋_GB2312"/>
          <w:i w:val="0"/>
          <w:caps w:val="0"/>
          <w:color w:val="auto"/>
          <w:spacing w:val="0"/>
          <w:sz w:val="30"/>
          <w:szCs w:val="30"/>
          <w:shd w:val="clear" w:fill="FFFFFF"/>
          <w:lang w:eastAsia="zh-CN"/>
        </w:rPr>
        <w:t>性在局办公会上进行通报</w:t>
      </w:r>
      <w:r>
        <w:rPr>
          <w:rFonts w:hint="eastAsia" w:ascii="仿宋_GB2312" w:hAnsi="仿宋_GB2312" w:eastAsia="仿宋_GB2312" w:cs="仿宋_GB2312"/>
          <w:i w:val="0"/>
          <w:caps w:val="0"/>
          <w:color w:val="auto"/>
          <w:spacing w:val="0"/>
          <w:sz w:val="30"/>
          <w:szCs w:val="30"/>
          <w:shd w:val="clear" w:fill="FFFFFF"/>
        </w:rPr>
        <w:t>，鼓励先进，鞭策落后，形成信息工作比学赶超的良好氛围。</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i w:val="0"/>
          <w:caps w:val="0"/>
          <w:color w:val="auto"/>
          <w:spacing w:val="0"/>
          <w:sz w:val="30"/>
          <w:szCs w:val="30"/>
          <w:shd w:val="clear" w:fill="FFFFFF"/>
        </w:rPr>
      </w:pPr>
      <w:r>
        <w:rPr>
          <w:rFonts w:hint="eastAsia" w:ascii="黑体" w:hAnsi="黑体" w:eastAsia="黑体" w:cs="黑体"/>
          <w:i w:val="0"/>
          <w:caps w:val="0"/>
          <w:color w:val="auto"/>
          <w:spacing w:val="0"/>
          <w:sz w:val="30"/>
          <w:szCs w:val="30"/>
          <w:shd w:val="clear" w:fill="FFFFFF"/>
        </w:rPr>
        <w:t>二、主动公开政府信息情况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rPr>
        <w:t>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rPr>
        <w:t>年本单位主动公开信息</w:t>
      </w:r>
      <w:r>
        <w:rPr>
          <w:rFonts w:hint="eastAsia" w:ascii="仿宋_GB2312" w:hAnsi="仿宋_GB2312" w:eastAsia="仿宋_GB2312" w:cs="仿宋_GB2312"/>
          <w:i w:val="0"/>
          <w:caps w:val="0"/>
          <w:color w:val="auto"/>
          <w:spacing w:val="0"/>
          <w:sz w:val="30"/>
          <w:szCs w:val="30"/>
          <w:shd w:val="clear" w:fill="FFFFFF"/>
          <w:lang w:val="en-US" w:eastAsia="zh-CN"/>
        </w:rPr>
        <w:t>2</w:t>
      </w:r>
      <w:r>
        <w:rPr>
          <w:rFonts w:hint="eastAsia" w:ascii="仿宋_GB2312" w:hAnsi="仿宋_GB2312" w:eastAsia="仿宋_GB2312" w:cs="仿宋_GB2312"/>
          <w:i w:val="0"/>
          <w:caps w:val="0"/>
          <w:color w:val="auto"/>
          <w:spacing w:val="0"/>
          <w:sz w:val="30"/>
          <w:szCs w:val="30"/>
          <w:shd w:val="clear" w:fill="FFFFFF"/>
        </w:rPr>
        <w:t>条，</w:t>
      </w:r>
      <w:r>
        <w:rPr>
          <w:rFonts w:hint="eastAsia" w:ascii="仿宋_GB2312" w:hAnsi="仿宋_GB2312" w:eastAsia="仿宋_GB2312" w:cs="仿宋_GB2312"/>
          <w:i w:val="0"/>
          <w:caps w:val="0"/>
          <w:color w:val="auto"/>
          <w:spacing w:val="0"/>
          <w:sz w:val="30"/>
          <w:szCs w:val="30"/>
          <w:shd w:val="clear" w:fill="FFFFFF"/>
          <w:lang w:eastAsia="zh-CN"/>
        </w:rPr>
        <w:t>主要</w:t>
      </w:r>
      <w:r>
        <w:rPr>
          <w:rFonts w:hint="eastAsia" w:ascii="仿宋_GB2312" w:hAnsi="仿宋_GB2312" w:eastAsia="仿宋_GB2312" w:cs="仿宋_GB2312"/>
          <w:i w:val="0"/>
          <w:caps w:val="0"/>
          <w:color w:val="auto"/>
          <w:spacing w:val="0"/>
          <w:sz w:val="30"/>
          <w:szCs w:val="30"/>
          <w:shd w:val="clear" w:fill="FFFFFF"/>
        </w:rPr>
        <w:t>通过</w:t>
      </w:r>
      <w:r>
        <w:rPr>
          <w:rFonts w:hint="eastAsia" w:ascii="仿宋_GB2312" w:hAnsi="仿宋_GB2312" w:eastAsia="仿宋_GB2312" w:cs="仿宋_GB2312"/>
          <w:i w:val="0"/>
          <w:caps w:val="0"/>
          <w:color w:val="auto"/>
          <w:spacing w:val="0"/>
          <w:sz w:val="30"/>
          <w:szCs w:val="30"/>
          <w:shd w:val="clear" w:fill="FFFFFF"/>
          <w:lang w:eastAsia="zh-CN"/>
        </w:rPr>
        <w:t>区级媒体《全景西塞》进行发布内容为《西塞山区商贸商超复工复市工作实施方案》，《西塞山区居民离黄办理流程黄通告》，在受制于无局官方网站的情况下，将工业经济、科技惠民惠企政策相关的政策法规和产业政策通过“学习强国”“</w:t>
      </w:r>
      <w:r>
        <w:rPr>
          <w:rFonts w:hint="eastAsia" w:ascii="仿宋_GB2312" w:hAnsi="仿宋_GB2312" w:eastAsia="仿宋_GB2312" w:cs="仿宋_GB2312"/>
          <w:i w:val="0"/>
          <w:caps w:val="0"/>
          <w:color w:val="auto"/>
          <w:spacing w:val="0"/>
          <w:sz w:val="30"/>
          <w:szCs w:val="30"/>
          <w:shd w:val="clear" w:fill="FFFFFF"/>
          <w:lang w:val="en-US" w:eastAsia="zh-CN"/>
        </w:rPr>
        <w:t>全景西塞</w:t>
      </w:r>
      <w:r>
        <w:rPr>
          <w:rFonts w:hint="eastAsia" w:ascii="仿宋_GB2312" w:hAnsi="仿宋_GB2312" w:eastAsia="仿宋_GB2312" w:cs="仿宋_GB2312"/>
          <w:i w:val="0"/>
          <w:caps w:val="0"/>
          <w:color w:val="auto"/>
          <w:spacing w:val="0"/>
          <w:sz w:val="30"/>
          <w:szCs w:val="30"/>
          <w:shd w:val="clear" w:fill="FFFFFF"/>
          <w:lang w:eastAsia="zh-CN"/>
        </w:rPr>
        <w:t>”、微信、</w:t>
      </w:r>
      <w:r>
        <w:rPr>
          <w:rFonts w:hint="eastAsia" w:ascii="仿宋_GB2312" w:hAnsi="仿宋_GB2312" w:eastAsia="仿宋_GB2312" w:cs="仿宋_GB2312"/>
          <w:i w:val="0"/>
          <w:caps w:val="0"/>
          <w:color w:val="auto"/>
          <w:spacing w:val="0"/>
          <w:sz w:val="30"/>
          <w:szCs w:val="30"/>
          <w:shd w:val="clear" w:fill="FFFFFF"/>
          <w:lang w:val="en-US" w:eastAsia="zh-CN"/>
        </w:rPr>
        <w:t>QQ工作群、政策宣讲会等形式实现</w:t>
      </w:r>
      <w:r>
        <w:rPr>
          <w:rFonts w:hint="eastAsia" w:ascii="仿宋_GB2312" w:hAnsi="仿宋_GB2312" w:eastAsia="仿宋_GB2312" w:cs="仿宋_GB2312"/>
          <w:i w:val="0"/>
          <w:caps w:val="0"/>
          <w:color w:val="auto"/>
          <w:spacing w:val="0"/>
          <w:sz w:val="30"/>
          <w:szCs w:val="30"/>
          <w:shd w:val="clear" w:fill="FFFFFF"/>
          <w:lang w:eastAsia="zh-CN"/>
        </w:rPr>
        <w:t>实时公布;严格履行政府信息公开义务。与此同时积极推进“一张网”推进</w:t>
      </w:r>
      <w:r>
        <w:rPr>
          <w:rFonts w:hint="eastAsia" w:ascii="仿宋_GB2312" w:hAnsi="仿宋_GB2312" w:eastAsia="仿宋_GB2312" w:cs="仿宋_GB2312"/>
          <w:i w:val="0"/>
          <w:caps w:val="0"/>
          <w:color w:val="auto"/>
          <w:spacing w:val="0"/>
          <w:sz w:val="30"/>
          <w:szCs w:val="30"/>
          <w:shd w:val="clear" w:fill="FFFFFF"/>
          <w:lang w:val="en-US" w:eastAsia="zh-CN"/>
        </w:rPr>
        <w:t>6批垂管事项清单测试联通</w:t>
      </w:r>
      <w:r>
        <w:rPr>
          <w:rFonts w:hint="eastAsia" w:ascii="仿宋_GB2312" w:hAnsi="仿宋_GB2312" w:eastAsia="仿宋_GB2312" w:cs="仿宋_GB2312"/>
          <w:i w:val="0"/>
          <w:caps w:val="0"/>
          <w:color w:val="auto"/>
          <w:spacing w:val="0"/>
          <w:sz w:val="30"/>
          <w:szCs w:val="30"/>
          <w:shd w:val="clear" w:fill="FFFFFF"/>
          <w:lang w:eastAsia="zh-CN"/>
        </w:rPr>
        <w:t>工作，在湖北政务服务网开通“技术合同认定登记”“科技成果登记”等</w:t>
      </w:r>
      <w:r>
        <w:rPr>
          <w:rFonts w:hint="eastAsia" w:ascii="仿宋_GB2312" w:hAnsi="仿宋_GB2312" w:eastAsia="仿宋_GB2312" w:cs="仿宋_GB2312"/>
          <w:i w:val="0"/>
          <w:caps w:val="0"/>
          <w:color w:val="auto"/>
          <w:spacing w:val="0"/>
          <w:sz w:val="30"/>
          <w:szCs w:val="30"/>
          <w:shd w:val="clear" w:fill="FFFFFF"/>
          <w:lang w:val="en-US" w:eastAsia="zh-CN"/>
        </w:rPr>
        <w:t>2项最多跑一次网办事项。</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eastAsia="zh-CN"/>
        </w:rPr>
      </w:pPr>
      <w:r>
        <w:rPr>
          <w:rFonts w:hint="eastAsia" w:ascii="仿宋_GB2312" w:hAnsi="仿宋_GB2312" w:eastAsia="仿宋_GB2312" w:cs="仿宋_GB2312"/>
          <w:i w:val="0"/>
          <w:caps w:val="0"/>
          <w:color w:val="auto"/>
          <w:spacing w:val="0"/>
          <w:sz w:val="30"/>
          <w:szCs w:val="30"/>
          <w:shd w:val="clear" w:fill="FFFFFF"/>
          <w:lang w:eastAsia="zh-CN"/>
        </w:rPr>
        <w:t>经统计，20</w:t>
      </w:r>
      <w:r>
        <w:rPr>
          <w:rFonts w:hint="eastAsia" w:ascii="仿宋_GB2312" w:hAnsi="仿宋_GB2312" w:eastAsia="仿宋_GB2312" w:cs="仿宋_GB2312"/>
          <w:i w:val="0"/>
          <w:caps w:val="0"/>
          <w:color w:val="auto"/>
          <w:spacing w:val="0"/>
          <w:sz w:val="30"/>
          <w:szCs w:val="30"/>
          <w:shd w:val="clear" w:fill="FFFFFF"/>
          <w:lang w:val="en-US" w:eastAsia="zh-CN"/>
        </w:rPr>
        <w:t>20</w:t>
      </w:r>
      <w:r>
        <w:rPr>
          <w:rFonts w:hint="eastAsia" w:ascii="仿宋_GB2312" w:hAnsi="仿宋_GB2312" w:eastAsia="仿宋_GB2312" w:cs="仿宋_GB2312"/>
          <w:i w:val="0"/>
          <w:caps w:val="0"/>
          <w:color w:val="auto"/>
          <w:spacing w:val="0"/>
          <w:sz w:val="30"/>
          <w:szCs w:val="30"/>
          <w:shd w:val="clear" w:fill="FFFFFF"/>
          <w:lang w:eastAsia="zh-CN"/>
        </w:rPr>
        <w:t>年，我局新制作规范性文件</w:t>
      </w:r>
      <w:r>
        <w:rPr>
          <w:rFonts w:hint="eastAsia" w:ascii="仿宋_GB2312" w:hAnsi="仿宋_GB2312" w:eastAsia="仿宋_GB2312" w:cs="仿宋_GB2312"/>
          <w:i w:val="0"/>
          <w:caps w:val="0"/>
          <w:color w:val="auto"/>
          <w:spacing w:val="0"/>
          <w:sz w:val="30"/>
          <w:szCs w:val="30"/>
          <w:shd w:val="clear" w:fill="FFFFFF"/>
          <w:lang w:val="en-US" w:eastAsia="zh-CN"/>
        </w:rPr>
        <w:t>4</w:t>
      </w:r>
      <w:r>
        <w:rPr>
          <w:rFonts w:hint="eastAsia" w:ascii="仿宋_GB2312" w:hAnsi="仿宋_GB2312" w:eastAsia="仿宋_GB2312" w:cs="仿宋_GB2312"/>
          <w:i w:val="0"/>
          <w:caps w:val="0"/>
          <w:color w:val="auto"/>
          <w:spacing w:val="0"/>
          <w:sz w:val="30"/>
          <w:szCs w:val="30"/>
          <w:shd w:val="clear" w:fill="FFFFFF"/>
          <w:lang w:eastAsia="zh-CN"/>
        </w:rPr>
        <w:t>个，新公开规范性文件</w:t>
      </w:r>
      <w:r>
        <w:rPr>
          <w:rFonts w:hint="eastAsia" w:ascii="仿宋_GB2312" w:hAnsi="仿宋_GB2312" w:eastAsia="仿宋_GB2312" w:cs="仿宋_GB2312"/>
          <w:i w:val="0"/>
          <w:caps w:val="0"/>
          <w:color w:val="auto"/>
          <w:spacing w:val="0"/>
          <w:sz w:val="30"/>
          <w:szCs w:val="30"/>
          <w:shd w:val="clear" w:fill="FFFFFF"/>
          <w:lang w:val="en-US" w:eastAsia="zh-CN"/>
        </w:rPr>
        <w:t>4</w:t>
      </w:r>
      <w:r>
        <w:rPr>
          <w:rFonts w:hint="eastAsia" w:ascii="仿宋_GB2312" w:hAnsi="仿宋_GB2312" w:eastAsia="仿宋_GB2312" w:cs="仿宋_GB2312"/>
          <w:i w:val="0"/>
          <w:caps w:val="0"/>
          <w:color w:val="auto"/>
          <w:spacing w:val="0"/>
          <w:sz w:val="30"/>
          <w:szCs w:val="30"/>
          <w:shd w:val="clear" w:fill="FFFFFF"/>
          <w:lang w:eastAsia="zh-CN"/>
        </w:rPr>
        <w:t>个，对外公开规范性文件共计</w:t>
      </w:r>
      <w:r>
        <w:rPr>
          <w:rFonts w:hint="eastAsia" w:ascii="仿宋_GB2312" w:hAnsi="仿宋_GB2312" w:eastAsia="仿宋_GB2312" w:cs="仿宋_GB2312"/>
          <w:i w:val="0"/>
          <w:caps w:val="0"/>
          <w:color w:val="auto"/>
          <w:spacing w:val="0"/>
          <w:sz w:val="30"/>
          <w:szCs w:val="30"/>
          <w:shd w:val="clear" w:fill="FFFFFF"/>
          <w:lang w:val="en-US" w:eastAsia="zh-CN"/>
        </w:rPr>
        <w:t>4</w:t>
      </w:r>
      <w:r>
        <w:rPr>
          <w:rFonts w:hint="eastAsia" w:ascii="仿宋_GB2312" w:hAnsi="仿宋_GB2312" w:eastAsia="仿宋_GB2312" w:cs="仿宋_GB2312"/>
          <w:i w:val="0"/>
          <w:caps w:val="0"/>
          <w:color w:val="auto"/>
          <w:spacing w:val="0"/>
          <w:sz w:val="30"/>
          <w:szCs w:val="30"/>
          <w:shd w:val="clear" w:fill="FFFFFF"/>
          <w:lang w:eastAsia="zh-CN"/>
        </w:rPr>
        <w:t>个，无行政许可事项、行政处罚事项</w:t>
      </w:r>
      <w:r>
        <w:rPr>
          <w:rFonts w:hint="eastAsia" w:ascii="仿宋_GB2312" w:hAnsi="仿宋_GB2312" w:eastAsia="仿宋_GB2312" w:cs="仿宋_GB2312"/>
          <w:i w:val="0"/>
          <w:caps w:val="0"/>
          <w:color w:val="auto"/>
          <w:spacing w:val="0"/>
          <w:sz w:val="30"/>
          <w:szCs w:val="30"/>
          <w:shd w:val="clear" w:fill="FFFFFF"/>
          <w:lang w:val="en-US" w:eastAsia="zh-CN"/>
        </w:rPr>
        <w:t>、</w:t>
      </w:r>
      <w:r>
        <w:rPr>
          <w:rFonts w:hint="eastAsia" w:ascii="仿宋_GB2312" w:hAnsi="仿宋_GB2312" w:eastAsia="仿宋_GB2312" w:cs="仿宋_GB2312"/>
          <w:i w:val="0"/>
          <w:caps w:val="0"/>
          <w:color w:val="auto"/>
          <w:spacing w:val="0"/>
          <w:sz w:val="30"/>
          <w:szCs w:val="30"/>
          <w:shd w:val="clear" w:fill="FFFFFF"/>
          <w:lang w:eastAsia="zh-CN"/>
        </w:rPr>
        <w:t>行政强制事项，无行政事业性收费，发布政府采购总项目数</w:t>
      </w:r>
      <w:r>
        <w:rPr>
          <w:rFonts w:hint="eastAsia" w:ascii="仿宋_GB2312" w:hAnsi="仿宋_GB2312" w:eastAsia="仿宋_GB2312" w:cs="仿宋_GB2312"/>
          <w:i w:val="0"/>
          <w:caps w:val="0"/>
          <w:color w:val="auto"/>
          <w:spacing w:val="0"/>
          <w:sz w:val="30"/>
          <w:szCs w:val="30"/>
          <w:shd w:val="clear" w:fill="FFFFFF"/>
          <w:lang w:val="en-US" w:eastAsia="zh-CN"/>
        </w:rPr>
        <w:t>11</w:t>
      </w:r>
      <w:r>
        <w:rPr>
          <w:rFonts w:hint="eastAsia" w:ascii="仿宋_GB2312" w:hAnsi="仿宋_GB2312" w:eastAsia="仿宋_GB2312" w:cs="仿宋_GB2312"/>
          <w:i w:val="0"/>
          <w:caps w:val="0"/>
          <w:color w:val="auto"/>
          <w:spacing w:val="0"/>
          <w:sz w:val="30"/>
          <w:szCs w:val="30"/>
          <w:shd w:val="clear" w:fill="FFFFFF"/>
          <w:lang w:eastAsia="zh-CN"/>
        </w:rPr>
        <w:t>个，累计金额</w:t>
      </w:r>
      <w:r>
        <w:rPr>
          <w:rFonts w:hint="eastAsia" w:ascii="仿宋_GB2312" w:hAnsi="仿宋_GB2312" w:eastAsia="仿宋_GB2312" w:cs="仿宋_GB2312"/>
          <w:i w:val="0"/>
          <w:caps w:val="0"/>
          <w:color w:val="auto"/>
          <w:spacing w:val="0"/>
          <w:sz w:val="30"/>
          <w:szCs w:val="30"/>
          <w:shd w:val="clear" w:fill="FFFFFF"/>
          <w:lang w:val="en-US" w:eastAsia="zh-CN"/>
        </w:rPr>
        <w:t>7.463万</w:t>
      </w:r>
      <w:r>
        <w:rPr>
          <w:rFonts w:hint="eastAsia" w:ascii="仿宋_GB2312" w:hAnsi="仿宋_GB2312" w:eastAsia="仿宋_GB2312" w:cs="仿宋_GB2312"/>
          <w:i w:val="0"/>
          <w:caps w:val="0"/>
          <w:color w:val="auto"/>
          <w:spacing w:val="0"/>
          <w:sz w:val="30"/>
          <w:szCs w:val="30"/>
          <w:shd w:val="clear" w:fill="FFFFFF"/>
          <w:lang w:eastAsia="zh-CN"/>
        </w:rPr>
        <w:t>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lang w:eastAsia="zh-CN"/>
        </w:rPr>
        <w:t>回应关切</w:t>
      </w:r>
      <w:r>
        <w:rPr>
          <w:rFonts w:hint="eastAsia" w:ascii="仿宋_GB2312" w:hAnsi="仿宋_GB2312" w:eastAsia="仿宋_GB2312" w:cs="仿宋_GB2312"/>
          <w:i w:val="0"/>
          <w:caps w:val="0"/>
          <w:color w:val="auto"/>
          <w:spacing w:val="0"/>
          <w:sz w:val="30"/>
          <w:szCs w:val="30"/>
          <w:shd w:val="clear" w:fill="FFFFFF"/>
          <w:lang w:val="en-US" w:eastAsia="zh-CN"/>
        </w:rPr>
        <w:t>12345公共服务热线平台诉求65条次</w:t>
      </w:r>
      <w:r>
        <w:rPr>
          <w:rFonts w:hint="eastAsia" w:ascii="仿宋_GB2312" w:hAnsi="仿宋_GB2312" w:eastAsia="仿宋_GB2312" w:cs="仿宋_GB2312"/>
          <w:i w:val="0"/>
          <w:caps w:val="0"/>
          <w:color w:val="auto"/>
          <w:spacing w:val="0"/>
          <w:sz w:val="30"/>
          <w:szCs w:val="30"/>
          <w:shd w:val="clear" w:fill="FFFFFF"/>
          <w:lang w:eastAsia="zh-CN"/>
        </w:rPr>
        <w:t>条，其中涉及新冠肺炎疫情期间企业疫情防控、企业员工上班出行、职工就餐诉求共计</w:t>
      </w:r>
      <w:r>
        <w:rPr>
          <w:rFonts w:hint="eastAsia" w:ascii="仿宋_GB2312" w:hAnsi="仿宋_GB2312" w:eastAsia="仿宋_GB2312" w:cs="仿宋_GB2312"/>
          <w:i w:val="0"/>
          <w:caps w:val="0"/>
          <w:color w:val="auto"/>
          <w:spacing w:val="0"/>
          <w:sz w:val="30"/>
          <w:szCs w:val="30"/>
          <w:shd w:val="clear" w:fill="FFFFFF"/>
          <w:lang w:val="en-US" w:eastAsia="zh-CN"/>
        </w:rPr>
        <w:t>53条次</w:t>
      </w:r>
      <w:r>
        <w:rPr>
          <w:rFonts w:hint="eastAsia" w:ascii="仿宋_GB2312" w:hAnsi="仿宋_GB2312" w:eastAsia="仿宋_GB2312" w:cs="仿宋_GB2312"/>
          <w:i w:val="0"/>
          <w:caps w:val="0"/>
          <w:color w:val="auto"/>
          <w:spacing w:val="0"/>
          <w:sz w:val="30"/>
          <w:szCs w:val="30"/>
          <w:shd w:val="clear" w:fill="FFFFFF"/>
          <w:lang w:eastAsia="zh-CN"/>
        </w:rPr>
        <w:t>，防疫物资发放诉求</w:t>
      </w:r>
      <w:r>
        <w:rPr>
          <w:rFonts w:hint="eastAsia" w:ascii="仿宋_GB2312" w:hAnsi="仿宋_GB2312" w:eastAsia="仿宋_GB2312" w:cs="仿宋_GB2312"/>
          <w:i w:val="0"/>
          <w:caps w:val="0"/>
          <w:color w:val="auto"/>
          <w:spacing w:val="0"/>
          <w:sz w:val="30"/>
          <w:szCs w:val="30"/>
          <w:shd w:val="clear" w:fill="FFFFFF"/>
          <w:lang w:val="en-US" w:eastAsia="zh-CN"/>
        </w:rPr>
        <w:t>1条，企业复工复产诉求3条、减免租金诉求3条，单用途预付卡问题诉求4条次，乱收费问题1条。并</w:t>
      </w:r>
      <w:r>
        <w:rPr>
          <w:rFonts w:hint="eastAsia" w:ascii="仿宋_GB2312" w:hAnsi="仿宋_GB2312" w:eastAsia="仿宋_GB2312" w:cs="仿宋_GB2312"/>
          <w:i w:val="0"/>
          <w:caps w:val="0"/>
          <w:color w:val="auto"/>
          <w:spacing w:val="0"/>
          <w:sz w:val="30"/>
          <w:szCs w:val="30"/>
          <w:shd w:val="clear" w:fill="FFFFFF"/>
          <w:lang w:eastAsia="zh-CN"/>
        </w:rPr>
        <w:t>回复国家平台件</w:t>
      </w:r>
      <w:r>
        <w:rPr>
          <w:rFonts w:hint="eastAsia" w:ascii="仿宋_GB2312" w:hAnsi="仿宋_GB2312" w:eastAsia="仿宋_GB2312" w:cs="仿宋_GB2312"/>
          <w:i w:val="0"/>
          <w:caps w:val="0"/>
          <w:color w:val="auto"/>
          <w:spacing w:val="0"/>
          <w:sz w:val="30"/>
          <w:szCs w:val="30"/>
          <w:shd w:val="clear" w:fill="FFFFFF"/>
          <w:lang w:val="en-US" w:eastAsia="zh-CN"/>
        </w:rPr>
        <w:t>1件，区委宣传部疫情防控舆情件2件。湖北阳光信访平台信访诉求件7件、区信访局信访交办件2件。</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3"/>
        <w:gridCol w:w="2097"/>
        <w:gridCol w:w="1290"/>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信息内容</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ascii="宋体" w:hAnsi="宋体" w:eastAsia="宋体" w:cs="宋体"/>
                <w:color w:val="333333"/>
                <w:kern w:val="0"/>
                <w:sz w:val="21"/>
                <w:szCs w:val="21"/>
                <w:highlight w:val="none"/>
              </w:rPr>
              <w:t>制作数量</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本年新</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ascii="宋体" w:hAnsi="宋体" w:eastAsia="宋体" w:cs="宋体"/>
                <w:color w:val="333333"/>
                <w:kern w:val="0"/>
                <w:sz w:val="21"/>
                <w:szCs w:val="21"/>
                <w:highlight w:val="none"/>
              </w:rPr>
              <w:t>公开数量</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规章</w:t>
            </w:r>
            <w:r>
              <w:rPr>
                <w:rFonts w:hint="eastAsia" w:ascii="宋体" w:hAnsi="宋体" w:cs="宋体"/>
                <w:color w:val="000000"/>
                <w:kern w:val="0"/>
                <w:sz w:val="21"/>
                <w:szCs w:val="21"/>
                <w:highlight w:val="none"/>
                <w:lang w:eastAsia="zh-CN"/>
              </w:rPr>
              <w:t>（设区的市、自治州人民政府应提供相关数据）</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eastAsia="zh-CN"/>
              </w:rPr>
            </w:pPr>
            <w:r>
              <w:rPr>
                <w:rFonts w:hint="eastAsia" w:ascii="宋体" w:hAnsi="宋体" w:cs="宋体"/>
                <w:color w:val="000000"/>
                <w:kern w:val="0"/>
                <w:sz w:val="21"/>
                <w:szCs w:val="21"/>
                <w:highlight w:val="none"/>
                <w:lang w:eastAsia="zh-CN"/>
              </w:rPr>
              <w:t>规范性文件（行政机关制定发布的决定、公告、通告、意见、通知，以及标题采用“规定”“办法”“细则”“规范”“规程”“规则”等字样的公文，一般情况下属于规范性文件）</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4</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4</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其他主动公开文件（含以本单位或本单位办公室名义正式签发的、除规范性文件以外的主动公开文件，可参考本单位政府信息公开平台“其他主动公开文件”栏目数据）</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信息内容</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2019年事项数</w:t>
            </w:r>
            <w:r>
              <w:rPr>
                <w:rFonts w:hint="eastAsia" w:ascii="宋体" w:hAnsi="宋体" w:cs="宋体"/>
                <w:color w:val="000000"/>
                <w:kern w:val="0"/>
                <w:sz w:val="21"/>
                <w:szCs w:val="21"/>
                <w:highlight w:val="none"/>
                <w:lang w:eastAsia="zh-CN"/>
              </w:rPr>
              <w:t>）</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2020年增加或减少的事项数，减用负值表示，如-8</w:t>
            </w:r>
            <w:r>
              <w:rPr>
                <w:rFonts w:hint="eastAsia" w:ascii="宋体" w:hAnsi="宋体" w:cs="宋体"/>
                <w:color w:val="000000"/>
                <w:kern w:val="0"/>
                <w:sz w:val="21"/>
                <w:szCs w:val="21"/>
                <w:highlight w:val="none"/>
                <w:lang w:eastAsia="zh-CN"/>
              </w:rPr>
              <w:t>）</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处理决定数量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2020年办件量</w:t>
            </w:r>
            <w:r>
              <w:rPr>
                <w:rFonts w:hint="eastAsia" w:ascii="宋体" w:hAnsi="宋体" w:cs="宋体"/>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行政许可</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rPr>
              <w:t>其他对外管理服务事项</w:t>
            </w:r>
            <w:r>
              <w:rPr>
                <w:rFonts w:hint="eastAsia" w:ascii="宋体" w:hAnsi="宋体" w:eastAsia="宋体" w:cs="宋体"/>
                <w:color w:val="333333"/>
                <w:kern w:val="0"/>
                <w:sz w:val="21"/>
                <w:szCs w:val="21"/>
                <w:highlight w:val="none"/>
                <w:lang w:eastAsia="zh-CN"/>
              </w:rPr>
              <w:t>（</w:t>
            </w:r>
            <w:r>
              <w:rPr>
                <w:rFonts w:hint="eastAsia" w:ascii="宋体" w:hAnsi="宋体" w:eastAsia="宋体" w:cs="宋体"/>
                <w:color w:val="333333"/>
                <w:kern w:val="0"/>
                <w:sz w:val="21"/>
                <w:szCs w:val="21"/>
                <w:highlight w:val="none"/>
                <w:lang w:val="en-US" w:eastAsia="zh-CN"/>
              </w:rPr>
              <w:t>指行政许可以外的政务服务事项</w:t>
            </w:r>
            <w:r>
              <w:rPr>
                <w:rFonts w:hint="eastAsia" w:ascii="宋体" w:hAnsi="宋体" w:cs="宋体"/>
                <w:color w:val="333333"/>
                <w:kern w:val="0"/>
                <w:sz w:val="21"/>
                <w:szCs w:val="21"/>
                <w:highlight w:val="none"/>
                <w:lang w:val="en-US" w:eastAsia="zh-CN"/>
              </w:rPr>
              <w:t>，</w:t>
            </w:r>
            <w:r>
              <w:rPr>
                <w:rFonts w:hint="eastAsia" w:ascii="宋体" w:hAnsi="宋体" w:eastAsia="宋体" w:cs="宋体"/>
                <w:color w:val="333333"/>
                <w:kern w:val="0"/>
                <w:sz w:val="21"/>
                <w:szCs w:val="21"/>
                <w:highlight w:val="none"/>
                <w:lang w:val="en-US" w:eastAsia="zh-CN"/>
              </w:rPr>
              <w:t>含行政确认、行政奖励、行政裁决、行政给付、行政处罚、行政强制、行政检查、行政征收</w:t>
            </w:r>
            <w:r>
              <w:rPr>
                <w:rFonts w:hint="eastAsia" w:ascii="宋体" w:hAnsi="宋体" w:cs="宋体"/>
                <w:color w:val="333333"/>
                <w:kern w:val="0"/>
                <w:sz w:val="21"/>
                <w:szCs w:val="21"/>
                <w:highlight w:val="none"/>
                <w:lang w:val="en-US" w:eastAsia="zh-CN"/>
              </w:rPr>
              <w:t>和</w:t>
            </w:r>
            <w:r>
              <w:rPr>
                <w:rFonts w:hint="eastAsia" w:ascii="宋体" w:hAnsi="宋体" w:eastAsia="宋体" w:cs="宋体"/>
                <w:color w:val="333333"/>
                <w:kern w:val="0"/>
                <w:sz w:val="21"/>
                <w:szCs w:val="21"/>
                <w:highlight w:val="none"/>
                <w:lang w:val="en-US" w:eastAsia="zh-CN"/>
              </w:rPr>
              <w:t>其他</w:t>
            </w:r>
            <w:r>
              <w:rPr>
                <w:rFonts w:hint="eastAsia" w:ascii="宋体" w:hAnsi="宋体" w:cs="宋体"/>
                <w:color w:val="333333"/>
                <w:kern w:val="0"/>
                <w:sz w:val="21"/>
                <w:szCs w:val="21"/>
                <w:highlight w:val="none"/>
                <w:lang w:val="en-US" w:eastAsia="zh-CN"/>
              </w:rPr>
              <w:t>类，以及</w:t>
            </w:r>
            <w:r>
              <w:rPr>
                <w:rFonts w:hint="eastAsia" w:ascii="宋体" w:hAnsi="宋体" w:eastAsia="宋体" w:cs="宋体"/>
                <w:color w:val="333333"/>
                <w:kern w:val="0"/>
                <w:sz w:val="21"/>
                <w:szCs w:val="21"/>
                <w:highlight w:val="none"/>
                <w:lang w:val="en-US" w:eastAsia="zh-CN"/>
              </w:rPr>
              <w:t>公共服务事项</w:t>
            </w:r>
            <w:r>
              <w:rPr>
                <w:rFonts w:hint="eastAsia" w:ascii="宋体" w:hAnsi="宋体" w:eastAsia="宋体" w:cs="宋体"/>
                <w:color w:val="333333"/>
                <w:kern w:val="0"/>
                <w:sz w:val="21"/>
                <w:szCs w:val="21"/>
                <w:highlight w:val="none"/>
                <w:lang w:eastAsia="zh-CN"/>
              </w:rPr>
              <w:t>）</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6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信息内容</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2019年事项数</w:t>
            </w:r>
            <w:r>
              <w:rPr>
                <w:rFonts w:hint="eastAsia" w:ascii="宋体" w:hAnsi="宋体" w:cs="宋体"/>
                <w:color w:val="000000"/>
                <w:kern w:val="0"/>
                <w:sz w:val="21"/>
                <w:szCs w:val="21"/>
                <w:highlight w:val="none"/>
                <w:lang w:eastAsia="zh-CN"/>
              </w:rPr>
              <w:t>）</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2020年增加或减少的事项数，减用负值表示，如-8</w:t>
            </w:r>
            <w:r>
              <w:rPr>
                <w:rFonts w:hint="eastAsia" w:ascii="宋体" w:hAnsi="宋体" w:cs="宋体"/>
                <w:color w:val="000000"/>
                <w:kern w:val="0"/>
                <w:sz w:val="21"/>
                <w:szCs w:val="21"/>
                <w:highlight w:val="none"/>
                <w:lang w:eastAsia="zh-CN"/>
              </w:rPr>
              <w:t>）</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处理决定数量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2020年办件量</w:t>
            </w:r>
            <w:r>
              <w:rPr>
                <w:rFonts w:hint="eastAsia" w:ascii="宋体" w:hAnsi="宋体" w:cs="宋体"/>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行政处罚</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行政强制</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信息内容</w:t>
            </w:r>
          </w:p>
        </w:tc>
        <w:tc>
          <w:tcPr>
            <w:tcW w:w="2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上一年项目数量</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2019年收费项目数</w:t>
            </w:r>
            <w:r>
              <w:rPr>
                <w:rFonts w:hint="eastAsia" w:ascii="宋体" w:hAnsi="宋体" w:cs="宋体"/>
                <w:color w:val="000000"/>
                <w:kern w:val="0"/>
                <w:sz w:val="21"/>
                <w:szCs w:val="21"/>
                <w:highlight w:val="none"/>
                <w:lang w:eastAsia="zh-CN"/>
              </w:rPr>
              <w:t>）</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本年增/减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2020年增加的收费项目数，减用负值表示，如-8</w:t>
            </w:r>
            <w:r>
              <w:rPr>
                <w:rFonts w:hint="eastAsia" w:ascii="宋体" w:hAnsi="宋体" w:cs="宋体"/>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行政事业性收费</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信息内容</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采购项目数量</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2020年以政府集中采购方式采购的项目总个数</w:t>
            </w:r>
            <w:r>
              <w:rPr>
                <w:rFonts w:hint="eastAsia" w:ascii="宋体" w:hAnsi="宋体" w:cs="宋体"/>
                <w:color w:val="000000"/>
                <w:kern w:val="0"/>
                <w:sz w:val="21"/>
                <w:szCs w:val="21"/>
                <w:highlight w:val="none"/>
                <w:lang w:eastAsia="zh-CN"/>
              </w:rPr>
              <w:t>）</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采购总金额</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（指</w:t>
            </w:r>
            <w:r>
              <w:rPr>
                <w:rFonts w:hint="eastAsia" w:ascii="宋体" w:hAnsi="宋体" w:cs="宋体"/>
                <w:color w:val="000000"/>
                <w:kern w:val="0"/>
                <w:sz w:val="21"/>
                <w:szCs w:val="21"/>
                <w:highlight w:val="none"/>
                <w:lang w:val="en-US" w:eastAsia="zh-CN"/>
              </w:rPr>
              <w:t>2020年以政府集中采购方式采购的项目已支付的总金额</w:t>
            </w:r>
            <w:r>
              <w:rPr>
                <w:rFonts w:hint="eastAsia" w:ascii="宋体" w:hAnsi="宋体" w:cs="宋体"/>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1"/>
                <w:szCs w:val="21"/>
                <w:highlight w:val="none"/>
              </w:rPr>
            </w:pPr>
            <w:r>
              <w:rPr>
                <w:rFonts w:hint="eastAsia" w:ascii="宋体" w:hAnsi="宋体" w:eastAsia="宋体" w:cs="宋体"/>
                <w:color w:val="000000"/>
                <w:kern w:val="0"/>
                <w:sz w:val="21"/>
                <w:szCs w:val="21"/>
                <w:highlight w:val="none"/>
              </w:rPr>
              <w:t>政府集中采购</w:t>
            </w:r>
          </w:p>
        </w:tc>
        <w:tc>
          <w:tcPr>
            <w:tcW w:w="2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11</w:t>
            </w:r>
          </w:p>
        </w:tc>
        <w:tc>
          <w:tcPr>
            <w:tcW w:w="293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7.463万元</w:t>
            </w:r>
          </w:p>
        </w:tc>
      </w:tr>
    </w:tbl>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i w:val="0"/>
          <w:caps w:val="0"/>
          <w:color w:val="auto"/>
          <w:spacing w:val="0"/>
          <w:sz w:val="30"/>
          <w:szCs w:val="30"/>
          <w:shd w:val="clear" w:fill="FFFFFF"/>
          <w:lang w:val="en-US" w:eastAsia="zh-CN"/>
        </w:rPr>
      </w:pPr>
      <w:r>
        <w:rPr>
          <w:rFonts w:hint="eastAsia" w:ascii="黑体" w:hAnsi="黑体" w:eastAsia="黑体" w:cs="黑体"/>
          <w:i w:val="0"/>
          <w:caps w:val="0"/>
          <w:color w:val="auto"/>
          <w:spacing w:val="0"/>
          <w:sz w:val="30"/>
          <w:szCs w:val="30"/>
          <w:shd w:val="clear" w:fill="FFFFFF"/>
          <w:lang w:val="en-US" w:eastAsia="zh-CN"/>
        </w:rPr>
        <w:t>三、收到和处理政府信息公开情况及因政府信息公开工作被申请行政复议、提起行政诉讼情况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lang w:val="en-US" w:eastAsia="zh-CN"/>
        </w:rPr>
        <w:t>2020年，我局未收到依申请政府信息公开事项，无因政府信息公开工作被申请行政复议、提起行政诉讼案件。</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22"/>
        <w:gridCol w:w="2212"/>
        <w:gridCol w:w="607"/>
        <w:gridCol w:w="690"/>
        <w:gridCol w:w="690"/>
        <w:gridCol w:w="750"/>
        <w:gridCol w:w="905"/>
        <w:gridCol w:w="67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49"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（本列数据的勾稽关系为：第一项加第二项之和，等于第三项加第四项之和）</w:t>
            </w:r>
          </w:p>
        </w:tc>
        <w:tc>
          <w:tcPr>
            <w:tcW w:w="4970"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4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607"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自然人</w:t>
            </w:r>
          </w:p>
        </w:tc>
        <w:tc>
          <w:tcPr>
            <w:tcW w:w="370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法人或其他组织</w:t>
            </w:r>
          </w:p>
        </w:tc>
        <w:tc>
          <w:tcPr>
            <w:tcW w:w="65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54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607"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商业企业</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科研机构</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社会公益组织</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法律服务机构</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其他</w:t>
            </w:r>
          </w:p>
        </w:tc>
        <w:tc>
          <w:tcPr>
            <w:tcW w:w="65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一、本年新收政府信息公开申请数量</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二、上年结转政府信息公开申请数量</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三、本年度办理结果</w:t>
            </w:r>
          </w:p>
        </w:tc>
        <w:tc>
          <w:tcPr>
            <w:tcW w:w="29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（一）予以公开</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9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（二）部分公开（区分处理的，只计这一情形，不计其他情形）</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（三）不予公开</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1.属于国家秘密</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2.其他法律行政法规禁止公开</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3.危及“三安全一稳定”</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4.保护第三方合法权益</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5.属于三类内部事务信息</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6.属于四类过程性信息</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7.属于行政执法案卷</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8.属于行政查询事项</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（四）无法提供</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1.本机关不掌握相关政府信息</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2.没有现成信息需要另行制作</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3.补正后申请内容仍不明确</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（五）不予处理</w:t>
            </w: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1.信访举报投诉类申请</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2.重复申请</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3.要求提供公开出版物</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4.无正当理由大量反复申请</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722"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5.要求行政机关确认或重新出具已获取信息</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9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（六）其他处理</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p>
        </w:tc>
        <w:tc>
          <w:tcPr>
            <w:tcW w:w="293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（七）总计</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4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333333"/>
                <w:kern w:val="0"/>
                <w:sz w:val="21"/>
                <w:szCs w:val="21"/>
                <w:highlight w:val="none"/>
              </w:rPr>
            </w:pPr>
            <w:r>
              <w:rPr>
                <w:rFonts w:hint="eastAsia" w:ascii="宋体" w:hAnsi="宋体" w:eastAsia="宋体" w:cs="宋体"/>
                <w:color w:val="333333"/>
                <w:sz w:val="21"/>
                <w:szCs w:val="21"/>
                <w:highlight w:val="none"/>
              </w:rPr>
              <w:t>四、结转下年度继续办理</w:t>
            </w:r>
          </w:p>
        </w:tc>
        <w:tc>
          <w:tcPr>
            <w:tcW w:w="6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c>
          <w:tcPr>
            <w:tcW w:w="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1"/>
                <w:szCs w:val="21"/>
                <w:highlight w:val="none"/>
                <w:lang w:val="en-US" w:eastAsia="zh-CN"/>
              </w:rPr>
            </w:pPr>
            <w:r>
              <w:rPr>
                <w:rFonts w:hint="eastAsia" w:ascii="宋体" w:hAnsi="宋体" w:eastAsia="宋体" w:cs="宋体"/>
                <w:color w:val="333333"/>
                <w:kern w:val="0"/>
                <w:sz w:val="21"/>
                <w:szCs w:val="21"/>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4"/>
        <w:gridCol w:w="564"/>
        <w:gridCol w:w="564"/>
        <w:gridCol w:w="625"/>
        <w:gridCol w:w="515"/>
        <w:gridCol w:w="567"/>
        <w:gridCol w:w="567"/>
        <w:gridCol w:w="567"/>
        <w:gridCol w:w="574"/>
        <w:gridCol w:w="567"/>
        <w:gridCol w:w="568"/>
        <w:gridCol w:w="568"/>
        <w:gridCol w:w="56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行政复议</w:t>
            </w:r>
          </w:p>
        </w:tc>
        <w:tc>
          <w:tcPr>
            <w:tcW w:w="5638"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结果维持</w:t>
            </w:r>
          </w:p>
        </w:tc>
        <w:tc>
          <w:tcPr>
            <w:tcW w:w="564"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结果纠正</w:t>
            </w:r>
          </w:p>
        </w:tc>
        <w:tc>
          <w:tcPr>
            <w:tcW w:w="5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其他结果</w:t>
            </w:r>
          </w:p>
        </w:tc>
        <w:tc>
          <w:tcPr>
            <w:tcW w:w="5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尚未审结</w:t>
            </w:r>
          </w:p>
        </w:tc>
        <w:tc>
          <w:tcPr>
            <w:tcW w:w="6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总计</w:t>
            </w:r>
          </w:p>
        </w:tc>
        <w:tc>
          <w:tcPr>
            <w:tcW w:w="279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未经复议直接起诉</w:t>
            </w:r>
          </w:p>
        </w:tc>
        <w:tc>
          <w:tcPr>
            <w:tcW w:w="284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highlight w:val="none"/>
              </w:rPr>
            </w:pPr>
          </w:p>
        </w:tc>
        <w:tc>
          <w:tcPr>
            <w:tcW w:w="564"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highlight w:val="none"/>
              </w:rPr>
            </w:pPr>
          </w:p>
        </w:tc>
        <w:tc>
          <w:tcPr>
            <w:tcW w:w="5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highlight w:val="none"/>
              </w:rPr>
            </w:pPr>
          </w:p>
        </w:tc>
        <w:tc>
          <w:tcPr>
            <w:tcW w:w="5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highlight w:val="none"/>
              </w:rPr>
            </w:pPr>
          </w:p>
        </w:tc>
        <w:tc>
          <w:tcPr>
            <w:tcW w:w="6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eastAsia="宋体" w:cs="宋体"/>
                <w:color w:val="333333"/>
                <w:kern w:val="0"/>
                <w:sz w:val="24"/>
                <w:szCs w:val="24"/>
                <w:highlight w:val="none"/>
              </w:rPr>
            </w:pPr>
          </w:p>
        </w:tc>
        <w:tc>
          <w:tcPr>
            <w:tcW w:w="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结果维持</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结果纠正</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其他结果</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尚未审结</w:t>
            </w:r>
          </w:p>
        </w:tc>
        <w:tc>
          <w:tcPr>
            <w:tcW w:w="5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宋体" w:hAnsi="宋体" w:eastAsia="宋体" w:cs="宋体"/>
                <w:color w:val="000000"/>
                <w:kern w:val="0"/>
                <w:sz w:val="20"/>
                <w:szCs w:val="20"/>
                <w:highlight w:val="none"/>
              </w:rPr>
              <w:t>总计</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结果维持</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结果纠正</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宋体" w:hAnsi="宋体" w:eastAsia="宋体" w:cs="宋体"/>
                <w:color w:val="000000"/>
                <w:kern w:val="0"/>
                <w:sz w:val="20"/>
                <w:szCs w:val="20"/>
                <w:highlight w:val="none"/>
              </w:rPr>
              <w:t>其他结果</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Calibri" w:hAnsi="Calibri" w:eastAsia="宋体" w:cs="Times New Roman"/>
                <w:color w:val="333333"/>
                <w:sz w:val="20"/>
                <w:szCs w:val="20"/>
                <w:highlight w:val="none"/>
              </w:rPr>
              <w:t>尚未审结</w:t>
            </w:r>
          </w:p>
        </w:tc>
        <w:tc>
          <w:tcPr>
            <w:tcW w:w="5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333333"/>
                <w:kern w:val="0"/>
                <w:sz w:val="24"/>
                <w:szCs w:val="24"/>
                <w:highlight w:val="none"/>
              </w:rPr>
            </w:pPr>
            <w:r>
              <w:rPr>
                <w:rFonts w:hint="eastAsia" w:ascii="宋体" w:hAnsi="宋体" w:eastAsia="宋体" w:cs="宋体"/>
                <w:color w:val="000000"/>
                <w:kern w:val="0"/>
                <w:sz w:val="20"/>
                <w:szCs w:val="20"/>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6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0</w:t>
            </w:r>
          </w:p>
        </w:tc>
        <w:tc>
          <w:tcPr>
            <w:tcW w:w="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0</w:t>
            </w:r>
          </w:p>
        </w:tc>
        <w:tc>
          <w:tcPr>
            <w:tcW w:w="5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333333"/>
                <w:kern w:val="0"/>
                <w:szCs w:val="21"/>
                <w:highlight w:val="none"/>
                <w:lang w:val="en-US" w:eastAsia="zh-CN"/>
              </w:rPr>
            </w:pPr>
            <w:r>
              <w:rPr>
                <w:rFonts w:hint="eastAsia" w:ascii="宋体" w:hAnsi="宋体" w:eastAsia="宋体" w:cs="宋体"/>
                <w:color w:val="333333"/>
                <w:kern w:val="0"/>
                <w:szCs w:val="21"/>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黑体" w:hAnsi="黑体" w:eastAsia="黑体" w:cs="黑体"/>
          <w:i w:val="0"/>
          <w:caps w:val="0"/>
          <w:color w:val="auto"/>
          <w:spacing w:val="0"/>
          <w:sz w:val="30"/>
          <w:szCs w:val="30"/>
          <w:shd w:val="clear" w:fill="FFFFFF"/>
          <w:lang w:val="en-US" w:eastAsia="zh-CN"/>
        </w:rPr>
        <w:t xml:space="preserve">四、工作存在的主要问题和改进情况  </w:t>
      </w:r>
      <w:r>
        <w:rPr>
          <w:rFonts w:hint="eastAsia" w:ascii="仿宋_GB2312" w:hAnsi="仿宋_GB2312" w:eastAsia="仿宋_GB2312" w:cs="仿宋_GB2312"/>
          <w:i w:val="0"/>
          <w:caps w:val="0"/>
          <w:color w:val="auto"/>
          <w:spacing w:val="0"/>
          <w:sz w:val="30"/>
          <w:szCs w:val="30"/>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b/>
          <w:bCs/>
          <w:i w:val="0"/>
          <w:caps w:val="0"/>
          <w:color w:val="auto"/>
          <w:spacing w:val="0"/>
          <w:sz w:val="30"/>
          <w:szCs w:val="30"/>
          <w:shd w:val="clear" w:fill="FFFFFF"/>
          <w:lang w:val="en-US" w:eastAsia="zh-CN"/>
        </w:rPr>
      </w:pPr>
      <w:r>
        <w:rPr>
          <w:rFonts w:hint="eastAsia" w:ascii="楷体" w:hAnsi="楷体" w:eastAsia="楷体" w:cs="楷体"/>
          <w:b/>
          <w:bCs/>
          <w:i w:val="0"/>
          <w:caps w:val="0"/>
          <w:color w:val="auto"/>
          <w:spacing w:val="0"/>
          <w:sz w:val="30"/>
          <w:szCs w:val="30"/>
          <w:shd w:val="clear" w:fill="FFFFFF"/>
          <w:lang w:val="en-US" w:eastAsia="zh-CN"/>
        </w:rPr>
        <w:t>（一）主要问题</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1.信息更新不够及时，新旧政策（文件精神）的更替、传达和解读有待加强。</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2.信息公开内容不够丰富，形式内容较单一，信息内容质量有待提高。</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3.人员配备不足，缺乏专业人员。公开和免公开两类政府信息离政府信息的界定存在较大的工作难点，离政府信息公开“以公开为原则，不公开为例外” 的总体要求有一定差距。</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 w:hAnsi="楷体" w:eastAsia="楷体" w:cs="楷体"/>
          <w:b/>
          <w:bCs/>
          <w:i w:val="0"/>
          <w:caps w:val="0"/>
          <w:color w:val="auto"/>
          <w:spacing w:val="0"/>
          <w:sz w:val="30"/>
          <w:szCs w:val="30"/>
          <w:shd w:val="clear" w:fill="FFFFFF"/>
          <w:lang w:val="en-US" w:eastAsia="zh-CN"/>
        </w:rPr>
      </w:pPr>
      <w:r>
        <w:rPr>
          <w:rFonts w:hint="eastAsia" w:ascii="楷体" w:hAnsi="楷体" w:eastAsia="楷体" w:cs="楷体"/>
          <w:b/>
          <w:bCs/>
          <w:i w:val="0"/>
          <w:caps w:val="0"/>
          <w:color w:val="auto"/>
          <w:spacing w:val="0"/>
          <w:sz w:val="30"/>
          <w:szCs w:val="30"/>
          <w:shd w:val="clear" w:fill="FFFFFF"/>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1.进一步加强对政府信息公开工作的领导，加强执行工作制度的检查，科学配备人员，明确分工，规范程序，确保工作正常开展。</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2.进一步丰富公开内容。结合工作实际，深入挖掘信息内容题材，丰富信息公开内容。</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3.进一步建立健全工作机制。拓展政务信息公开形式，健全信息上报、审核机制，加强信息公开工作宣传、培训与管理，加强对各科室信息公开工作的通报，努力提高信息公开的数量和质量。 </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进一步加强业务学习。积极组织经办人员参与</w:t>
      </w:r>
      <w:r>
        <w:rPr>
          <w:rFonts w:hint="eastAsia" w:ascii="仿宋_GB2312" w:hAnsi="仿宋_GB2312" w:eastAsia="仿宋_GB2312" w:cs="仿宋_GB2312"/>
          <w:color w:val="auto"/>
          <w:sz w:val="30"/>
          <w:szCs w:val="30"/>
          <w:lang w:eastAsia="zh-CN"/>
        </w:rPr>
        <w:t>区</w:t>
      </w:r>
      <w:r>
        <w:rPr>
          <w:rFonts w:hint="eastAsia" w:ascii="仿宋_GB2312" w:hAnsi="仿宋_GB2312" w:eastAsia="仿宋_GB2312" w:cs="仿宋_GB2312"/>
          <w:color w:val="auto"/>
          <w:sz w:val="30"/>
          <w:szCs w:val="30"/>
        </w:rPr>
        <w:t>政务公开办组织的政务公开培训会，</w:t>
      </w:r>
      <w:r>
        <w:rPr>
          <w:rFonts w:hint="eastAsia" w:ascii="仿宋_GB2312" w:hAnsi="仿宋_GB2312" w:eastAsia="仿宋_GB2312" w:cs="仿宋_GB2312"/>
          <w:color w:val="auto"/>
          <w:sz w:val="30"/>
          <w:szCs w:val="30"/>
          <w:lang w:val="en-US" w:eastAsia="zh-CN"/>
        </w:rPr>
        <w:t xml:space="preserve">加强人员培训，提高全员写作能力，提升信息公开内容质量。 </w:t>
      </w:r>
      <w:r>
        <w:rPr>
          <w:rFonts w:hint="eastAsia" w:ascii="仿宋_GB2312" w:hAnsi="仿宋_GB2312" w:eastAsia="仿宋_GB2312" w:cs="仿宋_GB2312"/>
          <w:color w:val="auto"/>
          <w:sz w:val="30"/>
          <w:szCs w:val="30"/>
        </w:rPr>
        <w:t>扎实掌握政务公开工作;</w:t>
      </w:r>
      <w:r>
        <w:rPr>
          <w:rFonts w:hint="eastAsia" w:ascii="仿宋_GB2312" w:hAnsi="仿宋_GB2312" w:eastAsia="仿宋_GB2312" w:cs="仿宋_GB2312"/>
          <w:color w:val="auto"/>
          <w:sz w:val="30"/>
          <w:szCs w:val="30"/>
          <w:lang w:eastAsia="zh-CN"/>
        </w:rPr>
        <w:t>同时</w:t>
      </w:r>
      <w:r>
        <w:rPr>
          <w:rFonts w:hint="eastAsia" w:ascii="仿宋_GB2312" w:hAnsi="仿宋_GB2312" w:eastAsia="仿宋_GB2312" w:cs="仿宋_GB2312"/>
          <w:color w:val="auto"/>
          <w:sz w:val="30"/>
          <w:szCs w:val="30"/>
        </w:rPr>
        <w:t>增强政务公开工作的时效性。更加注重时间节点的信息发布。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i w:val="0"/>
          <w:caps w:val="0"/>
          <w:color w:val="auto"/>
          <w:spacing w:val="0"/>
          <w:sz w:val="30"/>
          <w:szCs w:val="30"/>
          <w:shd w:val="clear" w:fill="FFFFFF"/>
          <w:lang w:val="en-US" w:eastAsia="zh-CN"/>
        </w:rPr>
      </w:pPr>
      <w:r>
        <w:rPr>
          <w:rFonts w:hint="eastAsia" w:ascii="黑体" w:hAnsi="黑体" w:eastAsia="黑体" w:cs="黑体"/>
          <w:i w:val="0"/>
          <w:caps w:val="0"/>
          <w:color w:val="auto"/>
          <w:spacing w:val="0"/>
          <w:sz w:val="30"/>
          <w:szCs w:val="30"/>
          <w:shd w:val="clear" w:fill="FFFFFF"/>
          <w:lang w:val="en-US" w:eastAsia="zh-CN"/>
        </w:rPr>
        <w:t>五、其他需要报告的事项</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lang w:val="en-US" w:eastAsia="zh-CN"/>
        </w:rPr>
        <w:t xml:space="preserve">  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91C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2021-01-25T10:37:21Z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