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val="en-US" w:eastAsia="zh-CN"/>
        </w:rPr>
        <w:t>西塞山区应急管理局2020年政府信息公开工作年度报告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根据《中华人民共和国政府信息公开条例》的有关规定和要求，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西塞山区应急管理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局认真贯彻执行各项政府信息公开规定，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西塞山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年度主动公开机构及职能信息、单位工作动态，及时更新办事服务事项指南，有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项政务服务事项链接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湖北政务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服务网，方便群众网上办事。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-3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含行政确认、行政奖励、行政裁决、行政给付、行政处罚、行政强制、行政检查、行政征收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197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-2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+135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+2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24.4494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三、行政机关收到和处理政府信息公开申请情况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四、因政府信息公开工作被申请行政复议、提起行政诉讼情况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五、政府信息公开工作存在的问题及改进情况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政府信息公开工作取得了一定的成绩，但也存在不足：一是政务信息公开力度有待进一步加大；信息公开更新还不够及时。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我局将按照上级要求，进一步加强政府信息公开工作，一是进一步完善信息公开制度，强化信息公开的责任意识、大局意识、服务意识；二是加强政府信息公开管理，更好地接受社会公众对信息公开情况的监督；三是政务信息公开工作及时、准确，深入推进政务服务改革，群众办事提供方便、快捷的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F2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2021-01-25T10:32:41Z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