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西塞山区市场监管局2020年政府信息</w:t>
      </w:r>
    </w:p>
    <w:p>
      <w:pPr>
        <w:spacing w:line="6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val="en-US" w:eastAsia="zh-CN"/>
        </w:rPr>
        <w:t>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2020年，区市场监管局严格按照区委、区政府关于政务公开工作的要求和部署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，认真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执行了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各项政府信息公开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规定，主动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单位工作动态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、食品安全监督抽检检验结果及行政许可等事项内容，加大了政务公开力度，提升了政务服务效能，积极回应社会关切，最大化为群众办事提供便利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二、主动公开政府信息情况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规章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 xml:space="preserve"> 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1387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  <w:t>其他对外管理服务事项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指行政许可以外的政务服务事项，含行政确认、行政奖励、行政裁决、行政给付、行政处罚、行政强制、行政检查、行政征收和其他类，以及公共服务事项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2019年事项数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2020年办件量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2019年收费项目数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17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26.8766万元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2212"/>
        <w:gridCol w:w="607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（本列数据的勾稽关系为：第一项加第二项之和，等于第三项加第四项之和）</w:t>
            </w:r>
          </w:p>
        </w:tc>
        <w:tc>
          <w:tcPr>
            <w:tcW w:w="49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7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0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一、本年新收政府信息公开申请数量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二、上年结转政府信息公开申请数量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三、本年度办理结果</w:t>
            </w: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（一）予以公开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（二）部分公开（区分处理的，只计这一情形，不计其他情形）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（三）不予公开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1.属于国家秘密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2.其他法律行政法规禁止公开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3.危及“三安全一稳定”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4.保护第三方合法权益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5.属于三类内部事务信息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6.属于四类过程性信息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7.属于行政执法案卷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8.属于行政查询事项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（四）无法提供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1.本机关不掌握相关政府信息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2.没有现成信息需要另行制作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3.补正后申请内容仍不明确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（五）不予处理</w:t>
            </w: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1.信访举报投诉类申请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2.重复申请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3.要求提供公开出版物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4.无正当理由大量反复申请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5.要求行政机关确认或重新出具已获取信息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（六）其他处理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9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（七）总计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四、结转下年度继续办理</w:t>
            </w:r>
          </w:p>
        </w:tc>
        <w:tc>
          <w:tcPr>
            <w:tcW w:w="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四、发布途径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区人民政府门户网站集中统一发布。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五、政府信息公开行政复议、行政诉讼情况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8"/>
                <w:szCs w:val="28"/>
                <w:highlight w:val="none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highlight w:val="none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区市场监管局十分重视政务公开工作，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取得了一定的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工作成效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，但也存在不足：一是政务信息公开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内容不够全面、主动性不足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；二是政务信息公开的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力度和更新效率有待提升，食品药品安全相关宣传有待加强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年，我局将按照上级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工作安排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以更大力度开展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政府信息公开工作，一是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完善信息公开制度，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明确公开事项及范围，提升政务公开工作效能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；二是加强政府信息公开，更好地接受社会公众对信息公开情况的监督；三是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政务信息公开工作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、准确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C51AD"/>
    <w:rsid w:val="6CC274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2021-01-25T10:15:35Z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