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湖北西塞山工业园区管理委员会信息公开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2020年园区坚决按照《条例》及区委区政府相关工作要求开展信息公开工作。根据相关工作要求无需要主动公开内容，也未收到需政府公开信息的申请。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二、行政机关主动公开政府信息情况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含行政确认、行政奖励、行政裁决、行政给付、行政处罚、行政强制、行政检查、行政征收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116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81.2万元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三、行政机关收到和处理政府信息公开申请情况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四、因政府信息公开工作被申请行政复议、提起行政诉讼情况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五、政府信息公开工作存在的问题及改进情况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根据政府信息公开工作规范，前期园区暂无应公开事项。随着临港产业新区建设进一步推进，园区将加强与区职能部门对接，及时了解是否存在新增需公开事项。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4933" w:rightChars="-2349"/>
        <w:jc w:val="both"/>
        <w:textAlignment w:val="auto"/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4933" w:rightChars="-2349"/>
        <w:jc w:val="both"/>
        <w:textAlignment w:val="auto"/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湖北西塞山工业园区管理委员会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2021年1月22日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F99FE1"/>
    <w:multiLevelType w:val="singleLevel"/>
    <w:tmpl w:val="AFF99FE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51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2021-01-25T10:41:28Z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