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  <w:widowControl/>
        <w:spacing w:before="0" w:beforeAutospacing="0" w:after="0" w:afterAutospacing="0" w:line="432" w:lineRule="auto"/>
        <w:jc w:val="center"/>
        <w:rPr>
          <w:rFonts w:hint="eastAsia" w:ascii="宋体" w:hAnsi="宋体" w:eastAsia="宋体" w:cs="宋体"/>
          <w:b/>
          <w:bCs/>
          <w:color w:val="333333"/>
          <w:sz w:val="36"/>
          <w:szCs w:val="36"/>
        </w:rPr>
      </w:pPr>
    </w:p>
    <w:p>
      <w:pPr>
        <w:pStyle w:val="4"/>
        <w:widowControl/>
        <w:spacing w:before="0" w:beforeAutospacing="0" w:after="0" w:afterAutospacing="0" w:line="432" w:lineRule="auto"/>
        <w:jc w:val="center"/>
        <w:rPr>
          <w:rFonts w:hint="eastAsia" w:ascii="方正小标宋_GBK" w:hAnsi="方正小标宋_GBK" w:eastAsia="方正小标宋_GBK" w:cs="方正小标宋_GBK"/>
          <w:b/>
          <w:bCs/>
          <w:color w:val="333333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333333"/>
          <w:sz w:val="44"/>
          <w:szCs w:val="44"/>
        </w:rPr>
        <w:t>政府信息公开工作年度报告</w:t>
      </w:r>
    </w:p>
    <w:p>
      <w:pPr>
        <w:pStyle w:val="4"/>
        <w:widowControl/>
        <w:spacing w:before="0" w:beforeAutospacing="0" w:after="0" w:afterAutospacing="0" w:line="432" w:lineRule="auto"/>
        <w:jc w:val="center"/>
        <w:rPr>
          <w:rFonts w:hint="eastAsia" w:ascii="方正小标宋_GBK" w:hAnsi="方正小标宋_GBK" w:eastAsia="方正小标宋_GBK" w:cs="方正小标宋_GBK"/>
          <w:b/>
          <w:bCs/>
          <w:color w:val="333333"/>
          <w:sz w:val="28"/>
          <w:szCs w:val="28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333333"/>
          <w:sz w:val="28"/>
          <w:szCs w:val="28"/>
          <w:lang w:eastAsia="zh-CN"/>
        </w:rPr>
        <w:t>（区卫健局）</w:t>
      </w:r>
    </w:p>
    <w:p>
      <w:pPr>
        <w:pStyle w:val="4"/>
        <w:widowControl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</w:rPr>
      </w:pP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一、总体情况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严格按照《中华人民共和国政府信息公开条例》相关规定，认真做好我局信息公开工作。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涉及行政确认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医疗机构申请设置许可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、医疗机构申请执业登记许可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、医疗机构申请变更许可、中医诊所备案许可、中医诊所备案注销许可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医疗机构注销许可、医师执业注册、护士执业注册。</w:t>
      </w:r>
      <w:r>
        <w:rPr>
          <w:rFonts w:hint="eastAsia" w:ascii="仿宋_GB2312" w:hAnsi="仿宋_GB2312" w:eastAsia="仿宋_GB2312" w:cs="仿宋_GB2312"/>
          <w:sz w:val="32"/>
          <w:szCs w:val="32"/>
        </w:rPr>
        <w:t>未接到要求公开政府信息的申请，也未发生因政府信息公开工作而被申请行政复议或被提起行政诉讼。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二、主动公开政府信息情况</w:t>
      </w:r>
    </w:p>
    <w:tbl>
      <w:tblPr>
        <w:tblW w:w="84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5"/>
        <w:gridCol w:w="2105"/>
        <w:gridCol w:w="2105"/>
        <w:gridCol w:w="2105"/>
      </w:tblGrid>
      <w:tr>
        <w:trPr>
          <w:trHeight w:val="340" w:hRule="atLeast"/>
          <w:jc w:val="center"/>
        </w:trPr>
        <w:tc>
          <w:tcPr>
            <w:tcW w:w="84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第二十条第（一）项</w:t>
            </w:r>
          </w:p>
        </w:tc>
      </w:tr>
      <w:tr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信息内容</w:t>
            </w:r>
          </w:p>
        </w:tc>
        <w:tc>
          <w:tcPr>
            <w:tcW w:w="2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制发件数</w:t>
            </w:r>
          </w:p>
        </w:tc>
        <w:tc>
          <w:tcPr>
            <w:tcW w:w="2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本年废止件数</w:t>
            </w:r>
          </w:p>
        </w:tc>
        <w:tc>
          <w:tcPr>
            <w:tcW w:w="2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数</w:t>
            </w:r>
          </w:p>
        </w:tc>
      </w:tr>
      <w:tr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规章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cs="Calibri"/>
                <w:color w:val="333333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行政规范性文件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cs="Calibri"/>
                <w:color w:val="333333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>
        <w:trPr>
          <w:trHeight w:val="340" w:hRule="atLeast"/>
          <w:jc w:val="center"/>
        </w:trPr>
        <w:tc>
          <w:tcPr>
            <w:tcW w:w="84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第二十条第（五）项</w:t>
            </w:r>
          </w:p>
        </w:tc>
      </w:tr>
      <w:tr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信息内容</w:t>
            </w:r>
          </w:p>
        </w:tc>
        <w:tc>
          <w:tcPr>
            <w:tcW w:w="63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本年处理决定数量</w:t>
            </w:r>
          </w:p>
        </w:tc>
      </w:tr>
      <w:tr>
        <w:trPr>
          <w:trHeight w:val="340" w:hRule="atLeast"/>
          <w:jc w:val="center"/>
        </w:trPr>
        <w:tc>
          <w:tcPr>
            <w:tcW w:w="2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行政许可</w:t>
            </w:r>
          </w:p>
        </w:tc>
        <w:tc>
          <w:tcPr>
            <w:tcW w:w="631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cs="Calibri"/>
                <w:color w:val="333333"/>
                <w:kern w:val="2"/>
                <w:sz w:val="21"/>
                <w:szCs w:val="21"/>
                <w:lang w:val="en-US" w:eastAsia="zh-CN"/>
              </w:rPr>
              <w:t>298</w:t>
            </w:r>
          </w:p>
        </w:tc>
      </w:tr>
      <w:tr>
        <w:trPr>
          <w:trHeight w:val="340" w:hRule="atLeast"/>
          <w:jc w:val="center"/>
        </w:trPr>
        <w:tc>
          <w:tcPr>
            <w:tcW w:w="84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第二十条第（六）项</w:t>
            </w:r>
          </w:p>
        </w:tc>
      </w:tr>
      <w:tr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信息内容</w:t>
            </w:r>
          </w:p>
        </w:tc>
        <w:tc>
          <w:tcPr>
            <w:tcW w:w="631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本年处理决定数量</w:t>
            </w:r>
          </w:p>
        </w:tc>
      </w:tr>
      <w:tr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行政处罚</w:t>
            </w:r>
          </w:p>
        </w:tc>
        <w:tc>
          <w:tcPr>
            <w:tcW w:w="63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行政强制</w:t>
            </w:r>
          </w:p>
        </w:tc>
        <w:tc>
          <w:tcPr>
            <w:tcW w:w="63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rPr>
          <w:trHeight w:val="340" w:hRule="atLeast"/>
          <w:jc w:val="center"/>
        </w:trPr>
        <w:tc>
          <w:tcPr>
            <w:tcW w:w="84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第二十条第（八）项</w:t>
            </w:r>
          </w:p>
        </w:tc>
      </w:tr>
      <w:tr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信息内容</w:t>
            </w:r>
          </w:p>
        </w:tc>
        <w:tc>
          <w:tcPr>
            <w:tcW w:w="631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本年收费金额（单位：万元）</w:t>
            </w:r>
          </w:p>
        </w:tc>
      </w:tr>
      <w:tr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行政事业性收费</w:t>
            </w:r>
          </w:p>
        </w:tc>
        <w:tc>
          <w:tcPr>
            <w:tcW w:w="631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jc w:val="left"/>
      </w:pP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三、收到和处理政府信息公开申请情况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必要文字表述。</w:t>
      </w:r>
    </w:p>
    <w:tbl>
      <w:tblPr>
        <w:tblW w:w="8469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53"/>
        <w:gridCol w:w="798"/>
        <w:gridCol w:w="2847"/>
        <w:gridCol w:w="595"/>
        <w:gridCol w:w="595"/>
        <w:gridCol w:w="595"/>
        <w:gridCol w:w="595"/>
        <w:gridCol w:w="595"/>
        <w:gridCol w:w="600"/>
        <w:gridCol w:w="596"/>
      </w:tblGrid>
      <w:tr>
        <w:trPr>
          <w:jc w:val="center"/>
        </w:trPr>
        <w:tc>
          <w:tcPr>
            <w:tcW w:w="429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417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申请人情况</w:t>
            </w:r>
          </w:p>
        </w:tc>
      </w:tr>
      <w:tr>
        <w:trPr>
          <w:jc w:val="center"/>
        </w:trPr>
        <w:tc>
          <w:tcPr>
            <w:tcW w:w="429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自然人</w:t>
            </w:r>
          </w:p>
        </w:tc>
        <w:tc>
          <w:tcPr>
            <w:tcW w:w="29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法人或其他组织</w:t>
            </w:r>
          </w:p>
        </w:tc>
        <w:tc>
          <w:tcPr>
            <w:tcW w:w="596" w:type="dxa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总计</w:t>
            </w:r>
          </w:p>
        </w:tc>
      </w:tr>
      <w:tr>
        <w:trPr>
          <w:jc w:val="center"/>
        </w:trPr>
        <w:tc>
          <w:tcPr>
            <w:tcW w:w="429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商业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企业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科研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机构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社会公益组织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法律服务机构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596" w:type="dxa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rPr>
          <w:jc w:val="center"/>
        </w:trPr>
        <w:tc>
          <w:tcPr>
            <w:tcW w:w="429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_GoBack" w:colFirst="3" w:colLast="9"/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一、本年新收政府信息公开申请数量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429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二、上年结转政府信息公开申请数量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53" w:type="dxa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三、本年度办理结果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（一）予以公开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（三）不予公开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1.属于国家秘密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2.其他法律行政法规禁止公开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3.危及“三安全一稳定”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4.保护第三方合法权益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5.属于三类内部事务信息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6.属于四类过程性信息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7.属于行政执法案卷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8.属于行政查询事项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（四）无法提供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1.本机关不掌握相关政府信息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2.没有现成信息需要另行制作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3.补正后申请内容仍不明确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（五）不予处理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1.信访举报投诉类申请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2.重复申请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3.要求提供公开出版物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4.无正当理由大量反复申请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rPr>
          <w:trHeight w:val="779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5.要求行政机关确认或重新出具已获取信息</w:t>
            </w:r>
          </w:p>
        </w:tc>
        <w:tc>
          <w:tcPr>
            <w:tcW w:w="59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（六）其他处理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3.其他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（七）总计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429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四、结转下年度继续办理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bookmarkEnd w:id="0"/>
    </w:tbl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center"/>
        <w:rPr>
          <w:rFonts w:hint="eastAsia" w:ascii="宋体" w:hAnsi="宋体" w:eastAsia="宋体" w:cs="宋体"/>
          <w:color w:val="333333"/>
          <w:sz w:val="24"/>
          <w:szCs w:val="24"/>
        </w:rPr>
      </w:pP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四、政府信息公开行政复议、行政诉讼情况</w:t>
      </w:r>
    </w:p>
    <w:tbl>
      <w:tblPr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565"/>
        <w:gridCol w:w="565"/>
        <w:gridCol w:w="565"/>
        <w:gridCol w:w="574"/>
        <w:gridCol w:w="566"/>
        <w:gridCol w:w="566"/>
        <w:gridCol w:w="568"/>
        <w:gridCol w:w="568"/>
        <w:gridCol w:w="573"/>
        <w:gridCol w:w="568"/>
        <w:gridCol w:w="568"/>
        <w:gridCol w:w="568"/>
        <w:gridCol w:w="568"/>
        <w:gridCol w:w="573"/>
      </w:tblGrid>
      <w:tr>
        <w:trPr>
          <w:jc w:val="center"/>
        </w:trPr>
        <w:tc>
          <w:tcPr>
            <w:tcW w:w="28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行政复议</w:t>
            </w:r>
          </w:p>
        </w:tc>
        <w:tc>
          <w:tcPr>
            <w:tcW w:w="56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行政诉讼</w:t>
            </w:r>
          </w:p>
        </w:tc>
      </w:tr>
      <w:tr>
        <w:trPr>
          <w:jc w:val="center"/>
        </w:trPr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纠正</w:t>
            </w:r>
          </w:p>
        </w:tc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结果</w:t>
            </w:r>
          </w:p>
        </w:tc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审结</w:t>
            </w:r>
          </w:p>
        </w:tc>
        <w:tc>
          <w:tcPr>
            <w:tcW w:w="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28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未经复议直接起诉</w:t>
            </w:r>
          </w:p>
        </w:tc>
        <w:tc>
          <w:tcPr>
            <w:tcW w:w="28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复议后起诉</w:t>
            </w:r>
          </w:p>
        </w:tc>
      </w:tr>
      <w:tr>
        <w:trPr>
          <w:jc w:val="center"/>
        </w:trPr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维持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纠正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结果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审结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维持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纠正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结果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审结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</w:tr>
      <w:tr>
        <w:trPr>
          <w:trHeight w:val="672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jc w:val="left"/>
      </w:pP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五、存在的主要问题及改进情况</w:t>
      </w:r>
    </w:p>
    <w:p>
      <w:pPr>
        <w:widowControl w:val="0"/>
        <w:shd w:val="solid" w:color="FFFFFF" w:fill="auto"/>
        <w:wordWrap/>
        <w:autoSpaceDN w:val="0"/>
        <w:spacing w:before="0" w:after="0" w:line="560" w:lineRule="exact"/>
        <w:ind w:left="0" w:leftChars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sz w:val="32"/>
          <w:szCs w:val="32"/>
          <w:shd w:val="clear" w:color="auto" w:fill="FFFFFF"/>
          <w:lang w:eastAsia="zh-CN"/>
        </w:rPr>
        <w:t>我局在政府信息公开工作做了一定的工作，但仍存在一些不足，如公开形式相对单一，公开内容还不够全面等问题。</w:t>
      </w:r>
      <w:r>
        <w:rPr>
          <w:rFonts w:hint="eastAsia" w:ascii="仿宋_GB2312" w:hAnsi="仿宋_GB2312" w:eastAsia="仿宋_GB2312" w:cs="仿宋_GB2312"/>
          <w:sz w:val="32"/>
          <w:szCs w:val="32"/>
        </w:rPr>
        <w:t>今后，我局将进一步规范政府信息公开程序，充实信息公开内容，提高信息公开及时性。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六、其他需要报告的事项</w:t>
      </w:r>
    </w:p>
    <w:p>
      <w:pPr>
        <w:widowControl w:val="0"/>
        <w:shd w:val="solid" w:color="FFFFFF" w:fill="auto"/>
        <w:wordWrap/>
        <w:autoSpaceDN w:val="0"/>
        <w:spacing w:before="0" w:after="0" w:line="560" w:lineRule="exact"/>
        <w:ind w:left="0" w:leftChars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2021年，我局新增3类公开信息，一是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sz w:val="32"/>
          <w:szCs w:val="32"/>
          <w:shd w:val="clear" w:color="auto" w:fill="FFFFFF"/>
          <w:lang w:eastAsia="zh-CN"/>
        </w:rPr>
        <w:t>黄石市西塞山区2021年基层医疗卫生专业技术人员专项公开招聘相关信息公开，二是西塞山区新增从业人员预防性健康检查定点医疗机构的公告，三是西塞山区2021年农村订单定向免费本科医学生资格申报公示。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altName w:val="宋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叶根友毛笔行书2.0版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hakuyoxingshu7000">
    <w:altName w:val="宋体"/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NumberOnly">
    <w:altName w:val="Segoe UI Symbol"/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小标宋简体">
    <w:altName w:val="黑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</w:style>
  <w:style w:type="paragraph" w:styleId="2">
    <w:name w:val="HTML Address"/>
    <w:basedOn w:val="1"/>
    <w:rPr>
      <w:sz w:val="24"/>
    </w:rPr>
  </w:style>
  <w:style w:type="paragraph" w:customStyle="1" w:styleId="4">
    <w:name w:val="Normal (Web)"/>
    <w:basedOn w:val="1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2021-12-21T23:19:00Z</dcterms:created>
  <dc:creator>WPS_1624785580</dc:creator>
  <dcterms:modified xsi:type="dcterms:W3CDTF">2022-01-24T11:49:34Z</dcterms:modified>
  <dc:title>WPS_1624785580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777F53E91E564B3B96F5A1A435D08748</vt:lpwstr>
  </property>
</Properties>
</file>