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idowControl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>
      <w:pPr>
        <w:pStyle w:val="4"/>
        <w:widowControl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政府信息公开工作年度报告</w:t>
      </w:r>
    </w:p>
    <w:p>
      <w:pPr>
        <w:pStyle w:val="4"/>
        <w:widowControl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28"/>
          <w:szCs w:val="28"/>
          <w:lang w:eastAsia="zh-CN"/>
        </w:rPr>
        <w:t>（区卫健局）</w:t>
      </w:r>
    </w:p>
    <w:p>
      <w:pPr>
        <w:pStyle w:val="4"/>
        <w:widowControl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严格按照《中华人民共和国政府信息公开条例》相关规定，认真做好我局信息公开工作。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涉及行政确认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医疗机构申请设置许可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、医疗机构申请执业登记许可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、医疗机构申请变更许可、中医诊所备案许可、中医诊所备案注销许可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医疗机构注销许可、医师执业注册、护士执业注册。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未接到要求公开政府信息的申请，也未发生因政府信息公开工作而被申请行政复议或被提起行政诉讼。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W w:w="8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第二十条第（一）项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数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第二十条第（五）项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/>
              </w:rPr>
              <w:t>298</w:t>
            </w:r>
          </w:p>
        </w:tc>
      </w:tr>
      <w:tr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第二十条第（六）项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第二十条第（八）项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本年收费金额（单位：万元）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W w:w="846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申请人情况</w:t>
            </w:r>
          </w:p>
        </w:tc>
      </w:tr>
      <w:tr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商业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科研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 w:colFirst="3" w:colLast="9"/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bookmarkEnd w:id="0"/>
    </w:tbl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widowControl w:val="0"/>
        <w:shd w:val="solid" w:color="FFFFFF" w:fill="auto"/>
        <w:wordWrap/>
        <w:autoSpaceDN w:val="0"/>
        <w:spacing w:before="0" w:after="0" w:line="56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shd w:val="clear" w:color="auto" w:fill="FFFFFF"/>
          <w:lang w:eastAsia="zh-CN"/>
        </w:rPr>
        <w:t>我局在政府信息公开工作做了一定的工作，但仍存在一些不足，如公开形式相对单一，公开内容还不够全面等问题。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今后，我局将进一步规范政府信息公开程序，充实信息公开内容，提高信息公开及时性。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widowControl w:val="0"/>
        <w:shd w:val="solid" w:color="FFFFFF" w:fill="auto"/>
        <w:wordWrap/>
        <w:autoSpaceDN w:val="0"/>
        <w:spacing w:before="0" w:after="0" w:line="56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2021年，我局新增3类公开信息，一是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shd w:val="clear" w:color="auto" w:fill="FFFFFF"/>
          <w:lang w:eastAsia="zh-CN"/>
        </w:rPr>
        <w:t>黄石市西塞山区2021年基层医疗卫生专业技术人员专项公开招聘相关信息公开，二是西塞山区新增从业人员预防性健康检查定点医疗机构的公告，三是西塞山区2021年农村订单定向免费本科医学生资格申报公示。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hakuyoxingshu7000">
    <w:altName w:val="宋体"/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NumberOnly">
    <w:altName w:val="Segoe UI Symbol"/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</w:style>
  <w:style w:type="paragraph" w:styleId="2">
    <w:name w:val="HTML Address"/>
    <w:basedOn w:val="1"/>
    <w:rPr>
      <w:sz w:val="24"/>
    </w:rPr>
  </w:style>
  <w:style w:type="paragraph" w:customStyle="1" w:styleId="4">
    <w:name w:val="Normal (Web)"/>
    <w:basedOn w:val="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dcterms:modified xsi:type="dcterms:W3CDTF">2022-01-24T11:49:34Z</dcterms:modified>
  <dc:title>WPS_1624785580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777F53E91E564B3B96F5A1A435D08748</vt:lpwstr>
  </property>
</Properties>
</file>