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00" w:lineRule="exact"/>
        <w:ind w:left="0" w:right="0" w:firstLine="0"/>
        <w:jc w:val="center"/>
        <w:textAlignment w:val="auto"/>
        <w:rPr>
          <w:rFonts w:hint="eastAsia" w:ascii="方正大标宋_GBK" w:hAnsi="方正大标宋_GBK" w:eastAsia="方正大标宋_GBK" w:cs="方正大标宋_GBK"/>
          <w:i w:val="0"/>
          <w:caps w:val="0"/>
          <w:color w:val="333333"/>
          <w:spacing w:val="0"/>
          <w:sz w:val="44"/>
          <w:szCs w:val="44"/>
        </w:rPr>
      </w:pPr>
      <w:r>
        <w:rPr>
          <w:rFonts w:hint="eastAsia" w:ascii="方正大标宋_GBK" w:hAnsi="方正大标宋_GBK" w:eastAsia="方正大标宋_GBK" w:cs="方正大标宋_GBK"/>
          <w:i w:val="0"/>
          <w:caps w:val="0"/>
          <w:color w:val="333333"/>
          <w:spacing w:val="0"/>
          <w:sz w:val="44"/>
          <w:szCs w:val="44"/>
          <w:shd w:val="clear" w:color="auto" w:fill="FFFFFF"/>
          <w:lang w:eastAsia="zh-CN"/>
        </w:rPr>
        <w:t>西塞山</w:t>
      </w:r>
      <w:r>
        <w:rPr>
          <w:rFonts w:hint="eastAsia" w:ascii="方正大标宋_GBK" w:hAnsi="方正大标宋_GBK" w:eastAsia="方正大标宋_GBK" w:cs="方正大标宋_GBK"/>
          <w:i w:val="0"/>
          <w:caps w:val="0"/>
          <w:color w:val="333333"/>
          <w:spacing w:val="0"/>
          <w:sz w:val="44"/>
          <w:szCs w:val="44"/>
          <w:shd w:val="clear" w:color="auto" w:fill="FFFFFF"/>
        </w:rPr>
        <w:t>区司法局政府信息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00" w:lineRule="exact"/>
        <w:ind w:left="0" w:right="0" w:firstLine="0"/>
        <w:jc w:val="center"/>
        <w:textAlignment w:val="auto"/>
        <w:rPr>
          <w:rFonts w:hint="eastAsia" w:ascii="方正大标宋_GBK" w:hAnsi="方正大标宋_GBK" w:eastAsia="方正大标宋_GBK" w:cs="方正大标宋_GBK"/>
          <w:i w:val="0"/>
          <w:caps w:val="0"/>
          <w:color w:val="333333"/>
          <w:spacing w:val="0"/>
          <w:sz w:val="44"/>
          <w:szCs w:val="44"/>
        </w:rPr>
      </w:pPr>
      <w:r>
        <w:rPr>
          <w:rFonts w:hint="eastAsia" w:ascii="方正大标宋_GBK" w:hAnsi="方正大标宋_GBK" w:eastAsia="方正大标宋_GBK" w:cs="方正大标宋_GBK"/>
          <w:i w:val="0"/>
          <w:caps w:val="0"/>
          <w:color w:val="333333"/>
          <w:spacing w:val="0"/>
          <w:sz w:val="44"/>
          <w:szCs w:val="44"/>
          <w:shd w:val="clear" w:color="auto" w:fill="FFFFFF"/>
        </w:rPr>
        <w:t>公开工作年度报告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44" w:lineRule="atLeast"/>
        <w:ind w:left="0" w:right="0" w:firstLine="708"/>
        <w:jc w:val="both"/>
        <w:rPr>
          <w:rFonts w:hint="eastAsia" w:ascii="方正大标宋_GBK" w:hAnsi="方正大标宋_GBK" w:eastAsia="方正大标宋_GBK" w:cs="方正大标宋_GBK"/>
          <w:i w:val="0"/>
          <w:caps w:val="0"/>
          <w:color w:val="333333"/>
          <w:spacing w:val="0"/>
          <w:sz w:val="44"/>
          <w:szCs w:val="44"/>
        </w:rPr>
      </w:pPr>
      <w:r>
        <w:rPr>
          <w:rFonts w:hint="eastAsia" w:ascii="方正大标宋_GBK" w:hAnsi="方正大标宋_GBK" w:eastAsia="方正大标宋_GBK" w:cs="方正大标宋_GBK"/>
          <w:i w:val="0"/>
          <w:caps w:val="0"/>
          <w:color w:val="333333"/>
          <w:spacing w:val="0"/>
          <w:sz w:val="44"/>
          <w:szCs w:val="44"/>
          <w:shd w:val="clear" w:color="auto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44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黑体" w:hAnsi="宋体" w:eastAsia="黑体" w:cs="黑体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一、总体情况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44" w:lineRule="atLeast"/>
        <w:ind w:left="0" w:right="0" w:firstLine="516"/>
        <w:rPr>
          <w:rFonts w:hint="default" w:ascii="仿宋_GB2312" w:hAnsi="宋体" w:eastAsia="仿宋_GB2312" w:cs="仿宋_GB2312"/>
          <w:i w:val="0"/>
          <w:iCs w:val="0"/>
          <w:caps w:val="0"/>
          <w:color w:val="333333"/>
          <w:spacing w:val="0"/>
          <w:sz w:val="31"/>
          <w:szCs w:val="31"/>
          <w:shd w:val="clear" w:fill="FFFFFF"/>
          <w:lang w:val="en-US" w:eastAsia="zh-CN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2021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年，在区委、区政府的正确领导下，我局</w:t>
      </w:r>
      <w:r>
        <w:rPr>
          <w:rFonts w:ascii="仿宋_GB2312" w:hAnsi="宋体" w:eastAsia="仿宋_GB2312" w:cs="仿宋_GB2312"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深入贯彻落实《中华人民共和国政府信息公开条例》和中央、国务院、省委省政府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333333"/>
          <w:spacing w:val="0"/>
          <w:sz w:val="31"/>
          <w:szCs w:val="31"/>
          <w:shd w:val="clear" w:fill="FFFFFF"/>
          <w:lang w:eastAsia="zh-CN"/>
        </w:rPr>
        <w:t>、市委市政府、区委区政府</w:t>
      </w:r>
      <w:r>
        <w:rPr>
          <w:rFonts w:ascii="仿宋_GB2312" w:hAnsi="宋体" w:eastAsia="仿宋_GB2312" w:cs="仿宋_GB2312"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关于全面推进政务公开的系列部署要求，坚持以公开为常态、不公开为例外，遵循公正、公平、合法、便民的原则，加强领导，规范程序，不断提升政府信息公开的工作效率和服务水平，切实增强人民群众满意度、获得感。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333333"/>
          <w:spacing w:val="0"/>
          <w:sz w:val="31"/>
          <w:szCs w:val="31"/>
          <w:shd w:val="clear" w:fill="FFFFFF"/>
          <w:lang w:eastAsia="zh-CN"/>
        </w:rPr>
        <w:t>现将我局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333333"/>
          <w:spacing w:val="0"/>
          <w:sz w:val="31"/>
          <w:szCs w:val="31"/>
          <w:shd w:val="clear" w:fill="FFFFFF"/>
          <w:lang w:val="en-US" w:eastAsia="zh-CN"/>
        </w:rPr>
        <w:t>2021年信息公开工作情况报告如下：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44" w:lineRule="atLeast"/>
        <w:ind w:left="0" w:right="0" w:firstLine="420"/>
        <w:jc w:val="both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2021年我局主动在西塞山区人民政府网及微信平台公开信息41条；2021年我局未收到政府信息公开申请。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44" w:lineRule="atLeast"/>
        <w:ind w:left="0" w:right="0" w:firstLine="420"/>
        <w:jc w:val="both"/>
        <w:rPr>
          <w:rFonts w:hint="eastAsia" w:ascii="黑体" w:hAnsi="宋体" w:eastAsia="黑体" w:cs="黑体"/>
          <w:i w:val="0"/>
          <w:caps w:val="0"/>
          <w:color w:val="333333"/>
          <w:spacing w:val="0"/>
          <w:sz w:val="32"/>
          <w:szCs w:val="32"/>
          <w:shd w:val="clear" w:color="auto" w:fill="FFFFFF"/>
        </w:rPr>
      </w:pPr>
      <w:r>
        <w:rPr>
          <w:rFonts w:hint="eastAsia" w:ascii="黑体" w:hAnsi="宋体" w:eastAsia="黑体" w:cs="黑体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二、</w:t>
      </w:r>
      <w:r>
        <w:rPr>
          <w:rFonts w:hint="eastAsia" w:ascii="黑体" w:hAnsi="宋体" w:eastAsia="黑体" w:cs="黑体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主动公开政府信息情况</w:t>
      </w:r>
    </w:p>
    <w:tbl>
      <w:tblPr>
        <w:tblStyle w:val="3"/>
        <w:tblW w:w="500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05"/>
        <w:gridCol w:w="2105"/>
        <w:gridCol w:w="2105"/>
        <w:gridCol w:w="21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5000" w:type="pct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第二十条第（一）项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信息内容</w:t>
            </w:r>
          </w:p>
        </w:tc>
        <w:tc>
          <w:tcPr>
            <w:tcW w:w="1250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本年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lang w:val="en-US" w:eastAsia="zh-CN" w:bidi="ar"/>
              </w:rPr>
              <w:t>制发件数</w:t>
            </w:r>
          </w:p>
        </w:tc>
        <w:tc>
          <w:tcPr>
            <w:tcW w:w="1250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本年废止件数</w:t>
            </w:r>
          </w:p>
        </w:tc>
        <w:tc>
          <w:tcPr>
            <w:tcW w:w="1250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现行有效件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lang w:val="en-US" w:eastAsia="zh-CN" w:bidi="ar"/>
              </w:rPr>
              <w:t>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规章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行政规范性文件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5000" w:type="pct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第二十条第（五）项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信息内容</w:t>
            </w:r>
          </w:p>
        </w:tc>
        <w:tc>
          <w:tcPr>
            <w:tcW w:w="3750" w:type="pct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本年处理决定数量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25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行政许可</w:t>
            </w:r>
          </w:p>
        </w:tc>
        <w:tc>
          <w:tcPr>
            <w:tcW w:w="3750" w:type="pct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5000" w:type="pct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第二十条第（六）项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leftChars="0" w:right="0" w:rightChars="0"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信息内容</w:t>
            </w:r>
          </w:p>
        </w:tc>
        <w:tc>
          <w:tcPr>
            <w:tcW w:w="3750" w:type="pct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leftChars="0" w:right="0" w:rightChars="0"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本年处理决定数量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行政处罚</w:t>
            </w:r>
          </w:p>
        </w:tc>
        <w:tc>
          <w:tcPr>
            <w:tcW w:w="3750" w:type="pct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行政强制</w:t>
            </w:r>
          </w:p>
        </w:tc>
        <w:tc>
          <w:tcPr>
            <w:tcW w:w="3750" w:type="pct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5000" w:type="pct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第二十条第（八）项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信息内容</w:t>
            </w:r>
          </w:p>
        </w:tc>
        <w:tc>
          <w:tcPr>
            <w:tcW w:w="3750" w:type="pct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本年收费金额（单位：万元）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行政事业性收费</w:t>
            </w:r>
          </w:p>
        </w:tc>
        <w:tc>
          <w:tcPr>
            <w:tcW w:w="3750" w:type="pct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sz w:val="21"/>
                <w:szCs w:val="21"/>
                <w:lang w:val="en-US" w:eastAsia="zh-CN"/>
              </w:rPr>
              <w:t>0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44" w:lineRule="atLeast"/>
        <w:ind w:left="0" w:right="0" w:firstLine="420"/>
        <w:jc w:val="both"/>
        <w:rPr>
          <w:rFonts w:hint="eastAsia" w:ascii="黑体" w:hAnsi="宋体" w:eastAsia="黑体" w:cs="黑体"/>
          <w:i w:val="0"/>
          <w:caps w:val="0"/>
          <w:color w:val="333333"/>
          <w:spacing w:val="0"/>
          <w:sz w:val="32"/>
          <w:szCs w:val="32"/>
          <w:shd w:val="clear" w:color="auto" w:fill="FFFFFF"/>
        </w:rPr>
      </w:pPr>
      <w:r>
        <w:rPr>
          <w:rFonts w:hint="eastAsia" w:ascii="黑体" w:hAnsi="宋体" w:eastAsia="黑体" w:cs="黑体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三、收到和处理政府信息公开申请情况</w:t>
      </w:r>
    </w:p>
    <w:tbl>
      <w:tblPr>
        <w:tblStyle w:val="3"/>
        <w:tblW w:w="4999" w:type="pct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57" w:type="dxa"/>
          <w:bottom w:w="0" w:type="dxa"/>
          <w:right w:w="57" w:type="dxa"/>
        </w:tblCellMar>
      </w:tblPr>
      <w:tblGrid>
        <w:gridCol w:w="653"/>
        <w:gridCol w:w="798"/>
        <w:gridCol w:w="2847"/>
        <w:gridCol w:w="595"/>
        <w:gridCol w:w="595"/>
        <w:gridCol w:w="595"/>
        <w:gridCol w:w="595"/>
        <w:gridCol w:w="595"/>
        <w:gridCol w:w="600"/>
        <w:gridCol w:w="596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2539" w:type="pct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</w:pPr>
            <w:r>
              <w:rPr>
                <w:rFonts w:hint="eastAsia" w:ascii="楷体" w:hAnsi="楷体" w:eastAsia="楷体" w:cs="楷体"/>
                <w:color w:val="333333"/>
                <w:kern w:val="0"/>
                <w:sz w:val="20"/>
                <w:szCs w:val="20"/>
                <w:lang w:val="en-US" w:eastAsia="zh-CN" w:bidi="ar"/>
              </w:rPr>
              <w:t>（本列数据的勾稽关系为：第一项加第二项之和，等于第三项加第四项之和）</w:t>
            </w:r>
          </w:p>
        </w:tc>
        <w:tc>
          <w:tcPr>
            <w:tcW w:w="2460" w:type="pct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lang w:val="en-US" w:eastAsia="zh-CN" w:bidi="ar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2539" w:type="pct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</w:pPr>
          </w:p>
        </w:tc>
        <w:tc>
          <w:tcPr>
            <w:tcW w:w="351" w:type="pct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lang w:val="en-US" w:eastAsia="zh-CN" w:bidi="ar"/>
              </w:rPr>
              <w:t>自然人</w:t>
            </w:r>
          </w:p>
        </w:tc>
        <w:tc>
          <w:tcPr>
            <w:tcW w:w="1758" w:type="pct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lang w:val="en-US" w:eastAsia="zh-CN" w:bidi="ar"/>
              </w:rPr>
              <w:t>法人或其他组织</w:t>
            </w:r>
          </w:p>
        </w:tc>
        <w:tc>
          <w:tcPr>
            <w:tcW w:w="351" w:type="pct"/>
            <w:vMerge w:val="restart"/>
            <w:tcBorders>
              <w:top w:val="single" w:color="auto" w:sz="8" w:space="0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lang w:val="en-US" w:eastAsia="zh-CN"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2539" w:type="pct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</w:pPr>
          </w:p>
        </w:tc>
        <w:tc>
          <w:tcPr>
            <w:tcW w:w="351" w:type="pct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lang w:val="en-US" w:eastAsia="zh-CN" w:bidi="ar"/>
              </w:rPr>
              <w:t>商业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lang w:val="en-US" w:eastAsia="zh-CN" w:bidi="ar"/>
              </w:rPr>
              <w:t>企业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lang w:val="en-US" w:eastAsia="zh-CN" w:bidi="ar"/>
              </w:rPr>
              <w:t>科研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lang w:val="en-US" w:eastAsia="zh-CN" w:bidi="ar"/>
              </w:rPr>
              <w:t>机构</w:t>
            </w:r>
          </w:p>
        </w:tc>
        <w:tc>
          <w:tcPr>
            <w:tcW w:w="35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lang w:val="en-US" w:eastAsia="zh-CN" w:bidi="ar"/>
              </w:rPr>
              <w:t>社会公益组织</w:t>
            </w:r>
          </w:p>
        </w:tc>
        <w:tc>
          <w:tcPr>
            <w:tcW w:w="35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lang w:val="en-US" w:eastAsia="zh-CN" w:bidi="ar"/>
              </w:rPr>
              <w:t>法律服务机构</w:t>
            </w:r>
          </w:p>
        </w:tc>
        <w:tc>
          <w:tcPr>
            <w:tcW w:w="35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1"/>
                <w:szCs w:val="21"/>
                <w:lang w:val="en-US" w:eastAsia="zh-CN" w:bidi="ar"/>
              </w:rPr>
              <w:t>其他</w:t>
            </w:r>
          </w:p>
        </w:tc>
        <w:tc>
          <w:tcPr>
            <w:tcW w:w="351" w:type="pct"/>
            <w:vMerge w:val="continue"/>
            <w:tcBorders>
              <w:top w:val="single" w:color="auto" w:sz="8" w:space="0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2539" w:type="pct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一、本年新收政府信息公开申请数量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2539" w:type="pct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二、上年结转政府信息公开申请数量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386" w:type="pct"/>
            <w:vMerge w:val="restart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三、本年度办理结果</w:t>
            </w:r>
          </w:p>
        </w:tc>
        <w:tc>
          <w:tcPr>
            <w:tcW w:w="2152" w:type="pct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（一）予以公开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386" w:type="pct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2152" w:type="pct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（二）部分公开（区分处理的，只计这一情形，不计其他情形）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386" w:type="pct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472" w:type="pct"/>
            <w:vMerge w:val="restart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（三）不予公开</w:t>
            </w:r>
          </w:p>
        </w:tc>
        <w:tc>
          <w:tcPr>
            <w:tcW w:w="167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1.属于国家秘密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386" w:type="pct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472" w:type="pct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167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2.其他法律行政法规禁止公开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386" w:type="pct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472" w:type="pct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167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3.危及“三安全一稳定”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386" w:type="pct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472" w:type="pct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167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4.保护第三方合法权益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386" w:type="pct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472" w:type="pct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167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5.属于三类内部事务信息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386" w:type="pct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472" w:type="pct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167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6.属于四类过程性信息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386" w:type="pct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472" w:type="pct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167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7.属于行政执法案卷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386" w:type="pct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472" w:type="pct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167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8.属于行政查询事项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386" w:type="pct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472" w:type="pct"/>
            <w:vMerge w:val="restart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（四）无法提供</w:t>
            </w:r>
          </w:p>
        </w:tc>
        <w:tc>
          <w:tcPr>
            <w:tcW w:w="167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1.本机关不掌握相关政府信息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386" w:type="pct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472" w:type="pct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167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2.没有现成信息需要另行制作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386" w:type="pct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472" w:type="pct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167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3.补正后申请内容仍不明确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386" w:type="pct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472" w:type="pct"/>
            <w:vMerge w:val="restart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（五）不予处理</w:t>
            </w:r>
          </w:p>
        </w:tc>
        <w:tc>
          <w:tcPr>
            <w:tcW w:w="167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1.信访举报投诉类申请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386" w:type="pct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472" w:type="pct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167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2.重复申请</w:t>
            </w:r>
          </w:p>
        </w:tc>
        <w:tc>
          <w:tcPr>
            <w:tcW w:w="35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386" w:type="pct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472" w:type="pct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167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3.要求提供公开出版物</w:t>
            </w:r>
          </w:p>
        </w:tc>
        <w:tc>
          <w:tcPr>
            <w:tcW w:w="35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386" w:type="pct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472" w:type="pct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167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4.无正当理由大量反复申请</w:t>
            </w:r>
          </w:p>
        </w:tc>
        <w:tc>
          <w:tcPr>
            <w:tcW w:w="35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779" w:hRule="atLeast"/>
          <w:jc w:val="center"/>
        </w:trPr>
        <w:tc>
          <w:tcPr>
            <w:tcW w:w="386" w:type="pct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472" w:type="pct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1679" w:type="pct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5.要求行政机关确认或重新出具已获取信息</w:t>
            </w:r>
          </w:p>
        </w:tc>
        <w:tc>
          <w:tcPr>
            <w:tcW w:w="351" w:type="pct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386" w:type="pct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472" w:type="pct"/>
            <w:vMerge w:val="restart"/>
            <w:tcBorders>
              <w:top w:val="outset" w:color="auto" w:sz="6" w:space="0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（六）其他处理</w:t>
            </w:r>
          </w:p>
        </w:tc>
        <w:tc>
          <w:tcPr>
            <w:tcW w:w="167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1.申请人无正当理由逾期不补正、行政机关不再处理其政府信息公开申请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386" w:type="pct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472" w:type="pct"/>
            <w:vMerge w:val="continue"/>
            <w:tcBorders>
              <w:top w:val="outset" w:color="auto" w:sz="6" w:space="0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167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2.申请人逾期未按收费通知要求缴纳费用、行政机关不再处理其政府信息公开申请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386" w:type="pct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472" w:type="pct"/>
            <w:vMerge w:val="continue"/>
            <w:tcBorders>
              <w:top w:val="outset" w:color="auto" w:sz="6" w:space="0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167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3.其他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386" w:type="pct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333333"/>
                <w:sz w:val="21"/>
                <w:szCs w:val="21"/>
              </w:rPr>
            </w:pPr>
          </w:p>
        </w:tc>
        <w:tc>
          <w:tcPr>
            <w:tcW w:w="2152" w:type="pct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（七）总计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2539" w:type="pct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kern w:val="0"/>
                <w:sz w:val="21"/>
                <w:szCs w:val="21"/>
                <w:lang w:val="en-US" w:eastAsia="zh-CN" w:bidi="ar"/>
              </w:rPr>
              <w:t>四、结转下年度继续办理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Lines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333333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44" w:lineRule="atLeast"/>
        <w:ind w:left="0" w:right="0" w:firstLine="420"/>
        <w:jc w:val="both"/>
        <w:rPr>
          <w:rFonts w:hint="eastAsia" w:ascii="黑体" w:hAnsi="宋体" w:eastAsia="黑体" w:cs="黑体"/>
          <w:i w:val="0"/>
          <w:caps w:val="0"/>
          <w:color w:val="333333"/>
          <w:spacing w:val="0"/>
          <w:sz w:val="32"/>
          <w:szCs w:val="32"/>
          <w:shd w:val="clear" w:color="auto" w:fill="FFFFFF"/>
        </w:rPr>
      </w:pPr>
      <w:r>
        <w:rPr>
          <w:rFonts w:hint="eastAsia" w:ascii="黑体" w:hAnsi="宋体" w:eastAsia="黑体" w:cs="黑体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四、</w:t>
      </w:r>
      <w:r>
        <w:rPr>
          <w:rFonts w:hint="eastAsia" w:ascii="黑体" w:hAnsi="宋体" w:eastAsia="黑体" w:cs="黑体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政府信息公开行政复议、行政诉讼情况</w:t>
      </w:r>
    </w:p>
    <w:tbl>
      <w:tblPr>
        <w:tblStyle w:val="3"/>
        <w:tblW w:w="108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3"/>
        <w:gridCol w:w="713"/>
        <w:gridCol w:w="713"/>
        <w:gridCol w:w="713"/>
        <w:gridCol w:w="804"/>
        <w:gridCol w:w="651"/>
        <w:gridCol w:w="718"/>
        <w:gridCol w:w="718"/>
        <w:gridCol w:w="718"/>
        <w:gridCol w:w="737"/>
        <w:gridCol w:w="718"/>
        <w:gridCol w:w="720"/>
        <w:gridCol w:w="720"/>
        <w:gridCol w:w="721"/>
        <w:gridCol w:w="7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  <w:jc w:val="center"/>
        </w:trPr>
        <w:tc>
          <w:tcPr>
            <w:tcW w:w="365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color w:val="333333"/>
                <w:sz w:val="20"/>
                <w:szCs w:val="20"/>
              </w:rPr>
              <w:t>行政复议</w:t>
            </w:r>
          </w:p>
        </w:tc>
        <w:tc>
          <w:tcPr>
            <w:tcW w:w="7163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color w:val="333333"/>
                <w:sz w:val="20"/>
                <w:szCs w:val="20"/>
              </w:rPr>
              <w:t>行政诉讼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  <w:jc w:val="center"/>
        </w:trPr>
        <w:tc>
          <w:tcPr>
            <w:tcW w:w="71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color w:val="333333"/>
                <w:sz w:val="20"/>
                <w:szCs w:val="20"/>
              </w:rPr>
              <w:t>结果维持</w:t>
            </w:r>
          </w:p>
        </w:tc>
        <w:tc>
          <w:tcPr>
            <w:tcW w:w="713" w:type="dxa"/>
            <w:vMerge w:val="restar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color w:val="333333"/>
                <w:sz w:val="20"/>
                <w:szCs w:val="20"/>
              </w:rPr>
              <w:t>结果纠正</w:t>
            </w:r>
          </w:p>
        </w:tc>
        <w:tc>
          <w:tcPr>
            <w:tcW w:w="713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color w:val="333333"/>
                <w:sz w:val="20"/>
                <w:szCs w:val="20"/>
              </w:rPr>
              <w:t>其他结果</w:t>
            </w:r>
          </w:p>
        </w:tc>
        <w:tc>
          <w:tcPr>
            <w:tcW w:w="713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color w:val="333333"/>
                <w:sz w:val="20"/>
                <w:szCs w:val="20"/>
              </w:rPr>
              <w:t>尚未审结</w:t>
            </w:r>
          </w:p>
        </w:tc>
        <w:tc>
          <w:tcPr>
            <w:tcW w:w="804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color w:val="333333"/>
                <w:sz w:val="20"/>
                <w:szCs w:val="20"/>
              </w:rPr>
              <w:t>总计</w:t>
            </w:r>
          </w:p>
        </w:tc>
        <w:tc>
          <w:tcPr>
            <w:tcW w:w="354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color w:val="333333"/>
                <w:sz w:val="20"/>
                <w:szCs w:val="20"/>
              </w:rPr>
              <w:t>未经复议直接起诉</w:t>
            </w:r>
          </w:p>
        </w:tc>
        <w:tc>
          <w:tcPr>
            <w:tcW w:w="3621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color w:val="333333"/>
                <w:sz w:val="20"/>
                <w:szCs w:val="20"/>
              </w:rPr>
              <w:t>复议后起诉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71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</w:p>
        </w:tc>
        <w:tc>
          <w:tcPr>
            <w:tcW w:w="713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</w:p>
        </w:tc>
        <w:tc>
          <w:tcPr>
            <w:tcW w:w="804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color w:val="333333"/>
                <w:sz w:val="20"/>
                <w:szCs w:val="20"/>
              </w:rPr>
              <w:t>结果维持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color w:val="333333"/>
                <w:sz w:val="20"/>
                <w:szCs w:val="20"/>
              </w:rPr>
              <w:t>结果纠正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color w:val="333333"/>
                <w:sz w:val="20"/>
                <w:szCs w:val="20"/>
              </w:rPr>
              <w:t>其他结果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color w:val="333333"/>
                <w:sz w:val="20"/>
                <w:szCs w:val="20"/>
              </w:rPr>
              <w:t>尚未审结</w:t>
            </w:r>
          </w:p>
        </w:tc>
        <w:tc>
          <w:tcPr>
            <w:tcW w:w="7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color w:val="333333"/>
                <w:sz w:val="20"/>
                <w:szCs w:val="20"/>
              </w:rPr>
              <w:t>结果维持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color w:val="333333"/>
                <w:sz w:val="20"/>
                <w:szCs w:val="20"/>
              </w:rPr>
              <w:t>结果纠正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7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color w:val="333333"/>
                <w:sz w:val="20"/>
                <w:szCs w:val="20"/>
              </w:rPr>
              <w:t>尚未审结</w:t>
            </w:r>
          </w:p>
        </w:tc>
        <w:tc>
          <w:tcPr>
            <w:tcW w:w="7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333333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6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333333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333333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  <w:lang w:val="en-US" w:eastAsia="zh-CN"/>
              </w:rPr>
              <w:t>0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44" w:lineRule="atLeast"/>
        <w:ind w:left="0" w:right="0" w:firstLine="420"/>
        <w:jc w:val="both"/>
        <w:rPr>
          <w:rFonts w:hint="eastAsia" w:ascii="黑体" w:hAnsi="宋体" w:eastAsia="黑体" w:cs="黑体"/>
          <w:i w:val="0"/>
          <w:caps w:val="0"/>
          <w:color w:val="333333"/>
          <w:spacing w:val="0"/>
          <w:sz w:val="32"/>
          <w:szCs w:val="32"/>
          <w:shd w:val="clear" w:color="auto" w:fill="FFFFFF"/>
        </w:rPr>
      </w:pPr>
      <w:r>
        <w:rPr>
          <w:rFonts w:hint="eastAsia" w:ascii="黑体" w:hAnsi="宋体" w:eastAsia="黑体" w:cs="黑体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五、存在的主要问题及改进情况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44" w:lineRule="atLeast"/>
        <w:ind w:left="0" w:right="0" w:firstLine="492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一年来，我局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信息公开工作虽然取得了一些成效，但也存在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一定不足，主要体现在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：一是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信息公开机制需进一步完善；二是人员不固定，无专人从事信息公开工作，且业务水平有待加强；三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是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部分信息公布不够及时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44" w:lineRule="atLeast"/>
        <w:ind w:left="0" w:right="0" w:firstLine="516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针对上述存在的问题，在今后工作中，我局将从以下几方面抓好落实：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44" w:lineRule="atLeast"/>
        <w:ind w:left="0" w:right="0" w:firstLine="516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一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是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请区政数局进一步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完善信息公开平台工作制度，进一步规范信息公开的程序。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二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是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区政数局进一步加强人员培训力度，就人员问题专题和区委、区政府进行汇报，充实信息公开人员力量。三是请区政数局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加强信息公开工作督促检查工作，定期进行检查，提高信息公开率，保证及时更新政府信息。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44" w:lineRule="atLeast"/>
        <w:ind w:left="0" w:right="0" w:firstLine="420"/>
        <w:jc w:val="both"/>
        <w:rPr>
          <w:rFonts w:hint="eastAsia" w:ascii="黑体" w:hAnsi="宋体" w:eastAsia="黑体" w:cs="黑体"/>
          <w:i w:val="0"/>
          <w:caps w:val="0"/>
          <w:color w:val="333333"/>
          <w:spacing w:val="0"/>
          <w:sz w:val="32"/>
          <w:szCs w:val="32"/>
          <w:shd w:val="clear" w:color="auto" w:fill="FFFFFF"/>
        </w:rPr>
      </w:pPr>
      <w:r>
        <w:rPr>
          <w:rFonts w:hint="eastAsia" w:ascii="黑体" w:hAnsi="宋体" w:eastAsia="黑体" w:cs="黑体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六、其他需要报告的事项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492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无其他需要报告的事项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44" w:lineRule="atLeast"/>
        <w:ind w:left="0" w:right="0" w:firstLine="42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44" w:lineRule="atLeast"/>
        <w:ind w:left="0" w:right="0" w:firstLine="42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黄石市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西塞山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区司法局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44" w:lineRule="atLeast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                                  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 xml:space="preserve">           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 xml:space="preserve"> 202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年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月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24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日</w: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C971AD1-E6D7-426F-AC02-C86FBD28594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360DF4B-3F42-4AD3-AD5C-F07FAF52F1A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88F11FA-8404-48B0-A75E-BB11276AE54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495F9822-27AF-4F0C-A9A6-F21CD297173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DB7C198-79F6-401A-95B1-FBD33EA51DC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04702415-D562-4E71-909E-D39615C17C7E}"/>
  </w:font>
  <w:font w:name="方正大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18CAC75F-1199-46F3-B4C8-C696CA790975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8" w:fontKey="{2A953EAF-9E6D-415A-95AB-DE20BCD9528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8943CE3B-20C8-4188-B906-D3EB6911589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AFA03624-D4EE-4FCB-92D2-14A3DD2522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536137"/>
    <w:rsid w:val="1253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85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2022-01-24T03:36:00Z</dcterms:created>
  <dc:creator>C</dc:creator>
  <cp:lastModifiedBy>C</cp:lastModifiedBy>
  <cp:lastPrinted>2022-01-24T07:01:23Z</cp:lastPrinted>
  <dcterms:modified xsi:type="dcterms:W3CDTF">2022-01-24T07:19:00Z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24CCCF29CABC4F46A4BA0B285262DD8C</vt:lpwstr>
  </property>
  <property fmtid="{D5CDD505-2E9C-101B-9397-08002B2CF9AE}" pid="4" name="KSOSaveFontToCloudKey">
    <vt:lpwstr>414636170_embed</vt:lpwstr>
  </property>
</Properties>
</file>