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2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（二十三）救灾生产领域基层政务公开标准目录</w:t>
      </w:r>
      <w:bookmarkEnd w:id="0"/>
    </w:p>
    <w:tbl>
      <w:tblPr>
        <w:tblStyle w:val="3"/>
        <w:tblW w:w="15660" w:type="dxa"/>
        <w:tblInd w:w="-8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700"/>
        <w:gridCol w:w="1968"/>
        <w:gridCol w:w="2160"/>
        <w:gridCol w:w="1092"/>
        <w:gridCol w:w="1496"/>
        <w:gridCol w:w="540"/>
        <w:gridCol w:w="720"/>
        <w:gridCol w:w="540"/>
        <w:gridCol w:w="720"/>
        <w:gridCol w:w="540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与救灾有关的法律、法规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与救灾有关的部门和地方规章、规范性文件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救灾领域有关的国家标准、行业标准、地方标准等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备灾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综合减灾示范社区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综合减灾示范社区分布情况（其具体位置、创建时间、创建级别等）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《政府信息公开条例》、《社会救助暂行办法》、《国家综合防灾减灾规划（2016-2020年）》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灾害信息员队伍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县乡两级灾害信息员工作职责和办公电话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灾后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救助审定信息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自然灾害救助（6类）的救助对象、申报材料、办理程序及时限等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灾害</w:t>
            </w:r>
          </w:p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应急管理部门审批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救助款物通知及划拨情况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因灾过渡期生活救助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因灾过渡期生活救助标准、过渡期生活救助对象评议结果公示（灾民姓名、受灾情况、拟救助金额、监督举报电话）                                         过渡期生活救助对象确定（灾民姓名、受灾情况、救助金额、监督举报电话)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村、社区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灾后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居民住房恢复重建救助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居民住房恢复重建救助标准（居民因灾倒房、损房恢复重建具体救助标准）                            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村、社区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</w:t>
            </w:r>
            <w:bookmarkStart w:id="1" w:name="_GoBack"/>
            <w:bookmarkEnd w:id="1"/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动态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防灾减灾救灾其他相关动态信息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14C33"/>
    <w:rsid w:val="15114C33"/>
    <w:rsid w:val="2B9A7C86"/>
    <w:rsid w:val="33492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2020-10-28T09:44:00Z</dcterms:created>
  <dc:creator>Administrator</dc:creator>
  <cp:lastModifiedBy>阿园</cp:lastModifiedBy>
  <cp:lastPrinted>2020-11-19T09:01:35Z</cp:lastPrinted>
  <dcterms:modified xsi:type="dcterms:W3CDTF">2020-11-19T09:18:12Z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