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（二十二）安全生产领域基层政务公开标准目录</w:t>
      </w:r>
      <w:bookmarkEnd w:id="0"/>
    </w:p>
    <w:tbl>
      <w:tblPr>
        <w:tblStyle w:val="3"/>
        <w:tblW w:w="15660" w:type="dxa"/>
        <w:tblInd w:w="-8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00"/>
        <w:gridCol w:w="1080"/>
        <w:gridCol w:w="2520"/>
        <w:gridCol w:w="2520"/>
        <w:gridCol w:w="1800"/>
        <w:gridCol w:w="900"/>
        <w:gridCol w:w="1496"/>
        <w:gridCol w:w="664"/>
        <w:gridCol w:w="720"/>
        <w:gridCol w:w="720"/>
        <w:gridCol w:w="720"/>
        <w:gridCol w:w="540"/>
        <w:gridCol w:w="5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40" w:type="dxa"/>
            <w:vMerge w:val="restart"/>
            <w:noWrap w:val="0"/>
            <w:vAlign w:val="center"/>
          </w:tcPr>
          <w:p>
            <w:pPr>
              <w:widowControl/>
              <w:jc w:val="center"/>
              <w:rPr>
                <w:rFonts w:hint="eastAsia"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9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8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900" w:type="dxa"/>
            <w:vMerge w:val="restart"/>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公开主体</w:t>
            </w:r>
          </w:p>
        </w:tc>
        <w:tc>
          <w:tcPr>
            <w:tcW w:w="1496" w:type="dxa"/>
            <w:vMerge w:val="restart"/>
            <w:noWrap w:val="0"/>
            <w:vAlign w:val="center"/>
          </w:tcPr>
          <w:p>
            <w:pPr>
              <w:widowControl/>
              <w:jc w:val="center"/>
              <w:rPr>
                <w:rFonts w:hint="eastAsia" w:ascii="黑体" w:hAnsi="宋体" w:eastAsia="黑体" w:cs="宋体"/>
                <w:kern w:val="0"/>
                <w:sz w:val="22"/>
              </w:rPr>
            </w:pPr>
            <w:r>
              <w:rPr>
                <w:rFonts w:hint="eastAsia" w:ascii="黑体" w:hAnsi="宋体" w:eastAsia="黑体" w:cs="宋体"/>
                <w:kern w:val="0"/>
                <w:sz w:val="22"/>
              </w:rPr>
              <w:t>公开渠道和载体</w:t>
            </w:r>
          </w:p>
        </w:tc>
        <w:tc>
          <w:tcPr>
            <w:tcW w:w="1384"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44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080" w:type="dxa"/>
            <w:gridSpan w:val="2"/>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540" w:type="dxa"/>
            <w:vMerge w:val="continue"/>
            <w:noWrap w:val="0"/>
            <w:vAlign w:val="center"/>
          </w:tcPr>
          <w:p>
            <w:pPr>
              <w:widowControl/>
              <w:jc w:val="center"/>
              <w:rPr>
                <w:rFonts w:hint="eastAsia" w:ascii="仿宋_GB2312" w:hAnsi="Times New Roman" w:eastAsia="仿宋_GB2312"/>
                <w:color w:val="000000"/>
                <w:kern w:val="0"/>
                <w:sz w:val="18"/>
                <w:szCs w:val="18"/>
              </w:rPr>
            </w:pPr>
          </w:p>
        </w:tc>
        <w:tc>
          <w:tcPr>
            <w:tcW w:w="90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8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2520" w:type="dxa"/>
            <w:vMerge w:val="continue"/>
            <w:noWrap w:val="0"/>
            <w:vAlign w:val="center"/>
          </w:tcPr>
          <w:p>
            <w:pPr>
              <w:widowControl/>
              <w:jc w:val="left"/>
              <w:rPr>
                <w:rFonts w:hint="eastAsia" w:ascii="黑体" w:hAnsi="宋体" w:eastAsia="黑体" w:cs="宋体"/>
                <w:color w:val="000000"/>
                <w:kern w:val="0"/>
                <w:sz w:val="22"/>
              </w:rPr>
            </w:pPr>
          </w:p>
        </w:tc>
        <w:tc>
          <w:tcPr>
            <w:tcW w:w="1800" w:type="dxa"/>
            <w:vMerge w:val="continue"/>
            <w:noWrap w:val="0"/>
            <w:vAlign w:val="center"/>
          </w:tcPr>
          <w:p>
            <w:pPr>
              <w:widowControl/>
              <w:jc w:val="left"/>
              <w:rPr>
                <w:rFonts w:hint="eastAsia" w:ascii="黑体" w:hAnsi="宋体" w:eastAsia="黑体" w:cs="宋体"/>
                <w:color w:val="000000"/>
                <w:kern w:val="0"/>
                <w:sz w:val="22"/>
              </w:rPr>
            </w:pPr>
          </w:p>
        </w:tc>
        <w:tc>
          <w:tcPr>
            <w:tcW w:w="900" w:type="dxa"/>
            <w:vMerge w:val="continue"/>
            <w:noWrap w:val="0"/>
            <w:vAlign w:val="center"/>
          </w:tcPr>
          <w:p>
            <w:pPr>
              <w:widowControl/>
              <w:jc w:val="center"/>
              <w:rPr>
                <w:rFonts w:hint="eastAsia" w:ascii="黑体" w:hAnsi="宋体" w:eastAsia="黑体" w:cs="宋体"/>
                <w:color w:val="000000"/>
                <w:kern w:val="0"/>
                <w:sz w:val="22"/>
              </w:rPr>
            </w:pPr>
          </w:p>
        </w:tc>
        <w:tc>
          <w:tcPr>
            <w:tcW w:w="1496" w:type="dxa"/>
            <w:vMerge w:val="continue"/>
            <w:noWrap w:val="0"/>
            <w:vAlign w:val="center"/>
          </w:tcPr>
          <w:p>
            <w:pPr>
              <w:widowControl/>
              <w:jc w:val="left"/>
              <w:rPr>
                <w:rFonts w:hint="eastAsia" w:ascii="黑体" w:hAnsi="宋体" w:eastAsia="黑体" w:cs="宋体"/>
                <w:kern w:val="0"/>
                <w:sz w:val="22"/>
              </w:rPr>
            </w:pPr>
          </w:p>
        </w:tc>
        <w:tc>
          <w:tcPr>
            <w:tcW w:w="664"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noWrap w:val="0"/>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政策</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文件</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与安全生产有关的法律、法规</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restart"/>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与安全生产有关的部门和地方规章</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其他政策文件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其他可以公开的与安全生产有关的政策文件，包括改革方案、发展规划、专项规划、工作计划等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安全生产领域有关的国家标准、行业标准、地方标准等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vMerge w:val="continue"/>
            <w:noWrap w:val="0"/>
            <w:vAlign w:val="center"/>
          </w:tcPr>
          <w:p>
            <w:pPr>
              <w:spacing w:line="240" w:lineRule="exact"/>
              <w:jc w:val="left"/>
              <w:rPr>
                <w:rFonts w:hint="eastAsia" w:ascii="仿宋_GB2312" w:eastAsia="仿宋_GB2312"/>
                <w:sz w:val="18"/>
                <w:szCs w:val="18"/>
              </w:rPr>
            </w:pP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涉及管理相对人切身利益、需社会广泛知晓的重要改革方案等重大决策，决策前向社会公开决策草案、决策依据</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jc w:val="cente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征集采纳社会公众意见情况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重大决策草案公布后征集到的社会公众意见情况、采纳与否情况及理由等</w:t>
            </w:r>
          </w:p>
        </w:tc>
        <w:tc>
          <w:tcPr>
            <w:tcW w:w="2520" w:type="dxa"/>
            <w:noWrap w:val="0"/>
            <w:vAlign w:val="top"/>
          </w:tcPr>
          <w:p>
            <w:r>
              <w:rPr>
                <w:rFonts w:hint="eastAsia" w:ascii="仿宋_GB2312" w:eastAsia="仿宋_GB2312"/>
                <w:bCs/>
                <w:color w:val="000000"/>
                <w:sz w:val="18"/>
                <w:szCs w:val="18"/>
              </w:rPr>
              <w:t>《政府信息公开条例》、《关于全面推进政务公开工作的意见》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征求意见时对外公布的时限内公开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 xml:space="preserve">■政府网站 </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3"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行政许可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办理行政许可和其他对外管理服务事项的依据、条件、程序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■政务服务</w:t>
            </w:r>
            <w:r>
              <w:rPr>
                <w:rFonts w:hint="eastAsia" w:ascii="仿宋_GB2312" w:eastAsia="仿宋_GB2312"/>
                <w:sz w:val="18"/>
                <w:szCs w:val="18"/>
                <w:lang w:eastAsia="zh-CN"/>
              </w:rPr>
              <w:t>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依法</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行政</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行政处罚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办理行政处罚的依据、条件、程序以及本级行政机关认为具有一定社会影响的行政处罚决定</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■政务服务</w:t>
            </w:r>
            <w:r>
              <w:rPr>
                <w:rFonts w:hint="eastAsia" w:ascii="仿宋_GB2312" w:eastAsia="仿宋_GB2312"/>
                <w:sz w:val="18"/>
                <w:szCs w:val="18"/>
                <w:lang w:eastAsia="zh-CN"/>
              </w:rPr>
              <w:t>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val="en-US" w:eastAsia="zh-CN"/>
              </w:rPr>
              <w:t>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行政强制</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办理行政强制的依据、条件、程序</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《政府信息公开条例》、《突发事件应对法》、《突发事件应急预案管理办法》、《中共中央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■政务服务</w:t>
            </w:r>
            <w:r>
              <w:rPr>
                <w:rFonts w:hint="eastAsia" w:ascii="仿宋_GB2312" w:eastAsia="仿宋_GB2312"/>
                <w:sz w:val="18"/>
                <w:szCs w:val="18"/>
                <w:lang w:eastAsia="zh-CN"/>
              </w:rPr>
              <w:t>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2"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0</w:t>
            </w:r>
          </w:p>
        </w:tc>
        <w:tc>
          <w:tcPr>
            <w:tcW w:w="900" w:type="dxa"/>
            <w:vMerge w:val="restart"/>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行政</w:t>
            </w:r>
          </w:p>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lang w:eastAsia="zh-CN"/>
              </w:rPr>
              <w:t>管理</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黑名单管理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列入或撤销纳入安全生产黑名单管理的企业信息，具体企业名称、证照编号、经营地址、负责人姓名等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《政府信息公开条例》、《社会信用体系建设规划纲要（2014-2020年）》</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信息形成或变更之日起20个工作日内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p>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r>
              <w:rPr>
                <w:rFonts w:hint="eastAsia" w:ascii="仿宋_GB2312" w:eastAsia="仿宋_GB2312"/>
                <w:sz w:val="18"/>
                <w:szCs w:val="18"/>
              </w:rPr>
              <w:br w:type="textWrapping"/>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动态信息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业务工作动态、安全生产执法检查动态</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2</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政务公开目录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政务公开事项的索引、名称、内容概述、生成日期等</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1</w:t>
            </w:r>
            <w:r>
              <w:rPr>
                <w:rFonts w:hint="eastAsia" w:ascii="仿宋_GB2312" w:hAnsi="宋体" w:eastAsia="仿宋_GB2312" w:cs="宋体"/>
                <w:color w:val="000000"/>
                <w:sz w:val="18"/>
                <w:szCs w:val="18"/>
                <w:lang w:val="en-US" w:eastAsia="zh-CN"/>
              </w:rPr>
              <w:t>3</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政务公开标准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政府信息公开指南等流程性信息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14</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公共</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服务</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权力清单及责任清单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同级政府审批通过的行政执法主体信息和行政许可、行政处罚、行政强制、行政检查、行政确认、行政奖励及其他行政职权等行政执法职权职责清单</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信息形成或者变更20个工作日内，如有更新，及时公开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lang w:eastAsia="zh-CN"/>
              </w:rPr>
            </w:pPr>
            <w:r>
              <w:rPr>
                <w:rFonts w:hint="eastAsia" w:ascii="仿宋_GB2312" w:eastAsia="仿宋_GB2312"/>
                <w:sz w:val="18"/>
                <w:szCs w:val="18"/>
              </w:rPr>
              <w:t>■</w:t>
            </w:r>
            <w:r>
              <w:rPr>
                <w:rFonts w:hint="eastAsia" w:ascii="仿宋_GB2312" w:eastAsia="仿宋_GB2312"/>
                <w:sz w:val="18"/>
                <w:szCs w:val="18"/>
                <w:lang w:eastAsia="zh-CN"/>
              </w:rPr>
              <w:t>政务服务平台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15</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主要业务办事指南</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主要业务工作的办事依据、程序、时限，办事时间、地点、部门、联系方式及相关办理结果</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信息形成或者变更之日起20个工作日内</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w:t>
            </w:r>
            <w:r>
              <w:rPr>
                <w:rFonts w:hint="eastAsia" w:ascii="仿宋_GB2312" w:eastAsia="仿宋_GB2312"/>
                <w:sz w:val="18"/>
                <w:szCs w:val="18"/>
                <w:lang w:eastAsia="zh-CN"/>
              </w:rPr>
              <w:t>政务服务平台</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16</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年度报告</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政府信息公开年度报告及相关统计报表</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每年1月31日前</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17</w:t>
            </w:r>
          </w:p>
        </w:tc>
        <w:tc>
          <w:tcPr>
            <w:tcW w:w="900" w:type="dxa"/>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财政资金信息</w:t>
            </w:r>
          </w:p>
        </w:tc>
        <w:tc>
          <w:tcPr>
            <w:tcW w:w="2520" w:type="dxa"/>
            <w:noWrap w:val="0"/>
            <w:vAlign w:val="center"/>
          </w:tcPr>
          <w:p>
            <w:pPr>
              <w:rPr>
                <w:rFonts w:hint="eastAsia" w:ascii="仿宋_GB2312" w:eastAsia="仿宋_GB2312"/>
                <w:bCs/>
                <w:sz w:val="18"/>
                <w:szCs w:val="18"/>
              </w:rPr>
            </w:pPr>
            <w:r>
              <w:rPr>
                <w:rFonts w:hint="eastAsia" w:ascii="仿宋_GB2312" w:eastAsia="仿宋_GB2312"/>
                <w:bCs/>
                <w:sz w:val="18"/>
                <w:szCs w:val="18"/>
              </w:rPr>
              <w:t>预算、决算</w:t>
            </w:r>
          </w:p>
          <w:p>
            <w:pPr>
              <w:rPr>
                <w:rFonts w:hint="eastAsia" w:ascii="仿宋_GB2312" w:eastAsia="仿宋_GB2312"/>
                <w:bCs/>
                <w:sz w:val="18"/>
                <w:szCs w:val="18"/>
              </w:rPr>
            </w:pPr>
            <w:r>
              <w:rPr>
                <w:rFonts w:hint="eastAsia" w:ascii="仿宋_GB2312" w:eastAsia="仿宋_GB2312"/>
                <w:bCs/>
                <w:sz w:val="18"/>
                <w:szCs w:val="18"/>
              </w:rPr>
              <w:t xml:space="preserve"> “三公”经费</w:t>
            </w:r>
          </w:p>
          <w:p>
            <w:pPr>
              <w:rPr>
                <w:rFonts w:hint="eastAsia" w:ascii="仿宋_GB2312" w:hAnsi="宋体" w:eastAsia="仿宋_GB2312" w:cs="宋体"/>
                <w:bCs/>
                <w:sz w:val="18"/>
                <w:szCs w:val="18"/>
              </w:rPr>
            </w:pPr>
            <w:r>
              <w:rPr>
                <w:rFonts w:hint="eastAsia" w:ascii="仿宋_GB2312" w:eastAsia="仿宋_GB2312"/>
                <w:bCs/>
                <w:sz w:val="18"/>
                <w:szCs w:val="18"/>
              </w:rPr>
              <w:t>安全生产专项资金使用等财政资金信息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按中央要求时限公开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18</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政府采购信息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本单位采购实施情况相关信息</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40" w:type="dxa"/>
            <w:noWrap w:val="0"/>
            <w:vAlign w:val="center"/>
          </w:tcPr>
          <w:p>
            <w:pPr>
              <w:jc w:val="center"/>
              <w:rPr>
                <w:rFonts w:hint="default" w:ascii="仿宋_GB2312" w:hAnsi="宋体" w:eastAsia="仿宋_GB2312" w:cs="宋体"/>
                <w:color w:val="000000"/>
                <w:sz w:val="18"/>
                <w:szCs w:val="18"/>
                <w:lang w:val="en-US" w:eastAsia="zh-CN"/>
              </w:rPr>
            </w:pPr>
            <w:r>
              <w:rPr>
                <w:rFonts w:hint="eastAsia" w:ascii="仿宋_GB2312" w:hAnsi="宋体" w:eastAsia="仿宋_GB2312" w:cs="宋体"/>
                <w:color w:val="000000"/>
                <w:sz w:val="18"/>
                <w:szCs w:val="18"/>
                <w:lang w:val="en-US" w:eastAsia="zh-CN"/>
              </w:rPr>
              <w:t>19</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办事纪律和监督管理</w:t>
            </w:r>
          </w:p>
        </w:tc>
        <w:tc>
          <w:tcPr>
            <w:tcW w:w="25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本单位的办事纪律,受理投诉、举报、信访的途径等内容</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0</w:t>
            </w:r>
          </w:p>
        </w:tc>
        <w:tc>
          <w:tcPr>
            <w:tcW w:w="900" w:type="dxa"/>
            <w:vMerge w:val="restart"/>
            <w:noWrap w:val="0"/>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重点</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领域</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信息</w:t>
            </w:r>
          </w:p>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公开</w:t>
            </w: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重大工程项目信息</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项目名称、执行措施、责任分工、取得成效、后续举措等</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《政府信息公开条例》、《国务院办公厅关于推进重大建设项目批准和实施领域政府信息公开的意见》</w:t>
            </w:r>
          </w:p>
        </w:tc>
        <w:tc>
          <w:tcPr>
            <w:tcW w:w="180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1</w:t>
            </w:r>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检查和巡查发现安全监管监察问题</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检查和巡查发现的、并要求向社会公开的问题及整改落实情况</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《政府信息公开条例》、《中共中央 国务院关于推进安全生产领域改革发展的意见》</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按进展情况及时公开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eastAsia="仿宋_GB2312"/>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540" w:type="dxa"/>
            <w:noWrap w:val="0"/>
            <w:vAlign w:val="center"/>
          </w:tcPr>
          <w:p>
            <w:pPr>
              <w:jc w:val="center"/>
              <w:rPr>
                <w:rFonts w:hint="eastAsia" w:ascii="仿宋_GB2312" w:hAnsi="宋体" w:eastAsia="仿宋_GB2312" w:cs="宋体"/>
                <w:color w:val="000000"/>
                <w:sz w:val="18"/>
                <w:szCs w:val="18"/>
                <w:lang w:eastAsia="zh-CN"/>
              </w:rPr>
            </w:pPr>
            <w:r>
              <w:rPr>
                <w:rFonts w:hint="eastAsia" w:ascii="仿宋_GB2312" w:hAnsi="宋体" w:eastAsia="仿宋_GB2312" w:cs="宋体"/>
                <w:color w:val="000000"/>
                <w:sz w:val="18"/>
                <w:szCs w:val="18"/>
              </w:rPr>
              <w:t>2</w:t>
            </w:r>
            <w:r>
              <w:rPr>
                <w:rFonts w:hint="eastAsia" w:ascii="仿宋_GB2312" w:hAnsi="宋体" w:eastAsia="仿宋_GB2312" w:cs="宋体"/>
                <w:color w:val="000000"/>
                <w:sz w:val="18"/>
                <w:szCs w:val="18"/>
                <w:lang w:val="en-US" w:eastAsia="zh-CN"/>
              </w:rPr>
              <w:t>2</w:t>
            </w:r>
            <w:bookmarkStart w:id="1" w:name="_GoBack"/>
            <w:bookmarkEnd w:id="1"/>
          </w:p>
        </w:tc>
        <w:tc>
          <w:tcPr>
            <w:tcW w:w="900" w:type="dxa"/>
            <w:vMerge w:val="continue"/>
            <w:noWrap w:val="0"/>
            <w:vAlign w:val="center"/>
          </w:tcPr>
          <w:p>
            <w:pPr>
              <w:rPr>
                <w:rFonts w:hint="eastAsia" w:ascii="仿宋_GB2312" w:hAnsi="宋体" w:eastAsia="仿宋_GB2312" w:cs="宋体"/>
                <w:color w:val="000000"/>
                <w:sz w:val="18"/>
                <w:szCs w:val="18"/>
              </w:rPr>
            </w:pPr>
          </w:p>
        </w:tc>
        <w:tc>
          <w:tcPr>
            <w:tcW w:w="108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建议提案办理</w:t>
            </w:r>
          </w:p>
        </w:tc>
        <w:tc>
          <w:tcPr>
            <w:tcW w:w="2520" w:type="dxa"/>
            <w:noWrap w:val="0"/>
            <w:vAlign w:val="center"/>
          </w:tcPr>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办理制度与推进情况            </w:t>
            </w:r>
          </w:p>
          <w:p>
            <w:pPr>
              <w:rPr>
                <w:rFonts w:hint="eastAsia" w:ascii="仿宋_GB2312" w:eastAsia="仿宋_GB2312"/>
                <w:bCs/>
                <w:color w:val="000000"/>
                <w:sz w:val="18"/>
                <w:szCs w:val="18"/>
              </w:rPr>
            </w:pPr>
            <w:r>
              <w:rPr>
                <w:rFonts w:hint="eastAsia" w:ascii="仿宋_GB2312" w:eastAsia="仿宋_GB2312"/>
                <w:bCs/>
                <w:color w:val="000000"/>
                <w:sz w:val="18"/>
                <w:szCs w:val="18"/>
              </w:rPr>
              <w:t xml:space="preserve">人大代表建议办理              </w:t>
            </w:r>
          </w:p>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政协委员提案办理</w:t>
            </w:r>
          </w:p>
        </w:tc>
        <w:tc>
          <w:tcPr>
            <w:tcW w:w="25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《政府信息公开条例》、《国务院办公厅关于做好全国人大代表建议和全国政协委员提案办理结果公开工作的通知》</w:t>
            </w:r>
          </w:p>
        </w:tc>
        <w:tc>
          <w:tcPr>
            <w:tcW w:w="18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按照中央有关要求公开</w:t>
            </w:r>
          </w:p>
        </w:tc>
        <w:tc>
          <w:tcPr>
            <w:tcW w:w="90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应急管理部门</w:t>
            </w:r>
          </w:p>
        </w:tc>
        <w:tc>
          <w:tcPr>
            <w:tcW w:w="1496" w:type="dxa"/>
            <w:noWrap w:val="0"/>
            <w:vAlign w:val="center"/>
          </w:tcPr>
          <w:p>
            <w:pPr>
              <w:spacing w:line="240" w:lineRule="exact"/>
              <w:jc w:val="left"/>
              <w:rPr>
                <w:rFonts w:hint="eastAsia" w:ascii="仿宋_GB2312" w:hAnsi="宋体" w:eastAsia="仿宋_GB2312" w:cs="宋体"/>
                <w:bCs/>
                <w:sz w:val="18"/>
                <w:szCs w:val="18"/>
              </w:rPr>
            </w:pPr>
            <w:r>
              <w:rPr>
                <w:rFonts w:hint="eastAsia" w:ascii="仿宋_GB2312" w:eastAsia="仿宋_GB2312"/>
                <w:sz w:val="18"/>
                <w:szCs w:val="18"/>
              </w:rPr>
              <w:t>■政府网站</w:t>
            </w:r>
          </w:p>
        </w:tc>
        <w:tc>
          <w:tcPr>
            <w:tcW w:w="664"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72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72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c>
          <w:tcPr>
            <w:tcW w:w="540" w:type="dxa"/>
            <w:noWrap w:val="0"/>
            <w:vAlign w:val="center"/>
          </w:tcPr>
          <w:p>
            <w:pPr>
              <w:rPr>
                <w:rFonts w:hint="eastAsia" w:ascii="仿宋_GB2312" w:hAnsi="宋体" w:eastAsia="仿宋_GB2312" w:cs="宋体"/>
                <w:bCs/>
                <w:sz w:val="18"/>
                <w:szCs w:val="18"/>
              </w:rPr>
            </w:pPr>
            <w:r>
              <w:rPr>
                <w:rFonts w:hint="eastAsia" w:ascii="仿宋_GB2312" w:eastAsia="仿宋_GB2312"/>
                <w:bCs/>
                <w:sz w:val="18"/>
                <w:szCs w:val="18"/>
              </w:rPr>
              <w:t>√</w:t>
            </w:r>
          </w:p>
        </w:tc>
        <w:tc>
          <w:tcPr>
            <w:tcW w:w="540" w:type="dxa"/>
            <w:noWrap w:val="0"/>
            <w:vAlign w:val="center"/>
          </w:tcPr>
          <w:p>
            <w:pPr>
              <w:rPr>
                <w:rFonts w:hint="eastAsia" w:ascii="仿宋_GB2312" w:hAnsi="宋体" w:eastAsia="仿宋_GB2312" w:cs="宋体"/>
                <w:bCs/>
                <w:color w:val="000000"/>
                <w:sz w:val="18"/>
                <w:szCs w:val="18"/>
              </w:rPr>
            </w:pPr>
            <w:r>
              <w:rPr>
                <w:rFonts w:hint="eastAsia" w:ascii="仿宋_GB2312" w:eastAsia="仿宋_GB2312"/>
                <w:bCs/>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692646"/>
    <w:rsid w:val="08692646"/>
    <w:rsid w:val="32150EE0"/>
    <w:rsid w:val="3FD65B7B"/>
    <w:rsid w:val="76F779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2020-10-28T09:43:00Z</dcterms:created>
  <dc:creator>Administrator</dc:creator>
  <cp:lastModifiedBy>阿园</cp:lastModifiedBy>
  <cp:lastPrinted>2020-11-19T09:01:26Z</cp:lastPrinted>
  <dcterms:modified xsi:type="dcterms:W3CDTF">2020-11-19T09:19:23Z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