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0" w:name="bookmark32"/>
      <w:bookmarkStart w:id="1" w:name="bookmark30"/>
      <w:bookmarkStart w:id="2" w:name="bookmark31"/>
      <w:r>
        <w:rPr>
          <w:color w:val="000000"/>
          <w:spacing w:val="0"/>
          <w:w w:val="100"/>
          <w:position w:val="0"/>
        </w:rPr>
        <w:t>社会培训评价组织基本情况表</w:t>
      </w:r>
      <w:bookmarkEnd w:id="0"/>
      <w:bookmarkEnd w:id="1"/>
      <w:bookmarkEnd w:id="2"/>
    </w:p>
    <w:tbl>
      <w:tblPr>
        <w:tblStyle w:val="2"/>
        <w:tblW w:w="853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2"/>
        <w:gridCol w:w="2059"/>
        <w:gridCol w:w="1274"/>
        <w:gridCol w:w="1397"/>
        <w:gridCol w:w="641"/>
        <w:gridCol w:w="18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—、基本信息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所在地区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地址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注册登记机构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40" w:right="0" w:firstLine="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统一社会 信用代码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法人代表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注册资金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电子邮箱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机构性质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（注册时信息）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机构类型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选择（国企等）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是否具备培训资质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选择是/否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培训工作年限（年）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培 训 评 价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after="0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规 模（人 次及 以 上）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二、拟开展职业技能等级评价的职业（工种）及评价规范情况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职业（工种）名称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职业编码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有无职业标准或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评价规范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标准和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规范类型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选择职业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自动出来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35"/>
        <w:gridCol w:w="7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7" w:hRule="atLeast"/>
        </w:trPr>
        <w:tc>
          <w:tcPr>
            <w:tcW w:w="5000" w:type="pct"/>
            <w:gridSpan w:val="2"/>
          </w:tcPr>
          <w:p>
            <w:pPr>
              <w:shd w:val="clear"/>
              <w:jc w:val="left"/>
              <w:rPr>
                <w:vertAlign w:val="baseline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三、机构情况简介（各限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800字</w:t>
            </w:r>
            <w:r>
              <w:rPr>
                <w:rFonts w:hint="eastAsia" w:eastAsia="宋体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</w:trPr>
        <w:tc>
          <w:tcPr>
            <w:tcW w:w="431" w:type="pct"/>
          </w:tcPr>
          <w:p>
            <w:pPr>
              <w:shd w:val="clear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基本情况</w:t>
            </w:r>
          </w:p>
        </w:tc>
        <w:tc>
          <w:tcPr>
            <w:tcW w:w="4568" w:type="pct"/>
          </w:tcPr>
          <w:p>
            <w:pPr>
              <w:shd w:val="clea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5" w:hRule="atLeast"/>
        </w:trPr>
        <w:tc>
          <w:tcPr>
            <w:tcW w:w="431" w:type="pct"/>
          </w:tcPr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技术支持</w:t>
            </w:r>
          </w:p>
        </w:tc>
        <w:tc>
          <w:tcPr>
            <w:tcW w:w="4568" w:type="pct"/>
          </w:tcPr>
          <w:p>
            <w:pPr>
              <w:shd w:val="clea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5" w:hRule="atLeast"/>
        </w:trPr>
        <w:tc>
          <w:tcPr>
            <w:tcW w:w="431" w:type="pct"/>
          </w:tcPr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专业人员配置</w:t>
            </w:r>
          </w:p>
        </w:tc>
        <w:tc>
          <w:tcPr>
            <w:tcW w:w="4568" w:type="pct"/>
          </w:tcPr>
          <w:p>
            <w:pPr>
              <w:shd w:val="clea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5" w:hRule="atLeast"/>
        </w:trPr>
        <w:tc>
          <w:tcPr>
            <w:tcW w:w="431" w:type="pct"/>
          </w:tcPr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shd w:val="clear"/>
              <w:rPr>
                <w:rFonts w:hint="eastAsia" w:eastAsia="宋体"/>
                <w:vertAlign w:val="baseline"/>
                <w:lang w:eastAsia="zh-CN"/>
              </w:rPr>
            </w:pPr>
            <w:bookmarkStart w:id="3" w:name="_GoBack"/>
            <w:bookmarkEnd w:id="3"/>
            <w:r>
              <w:rPr>
                <w:rFonts w:hint="eastAsia" w:eastAsia="宋体"/>
                <w:vertAlign w:val="baseline"/>
                <w:lang w:eastAsia="zh-CN"/>
              </w:rPr>
              <w:t>场地设备设施</w:t>
            </w:r>
          </w:p>
        </w:tc>
        <w:tc>
          <w:tcPr>
            <w:tcW w:w="4568" w:type="pct"/>
          </w:tcPr>
          <w:p>
            <w:pPr>
              <w:shd w:val="clear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480" w:line="601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Other|2"/>
    <w:basedOn w:val="1"/>
    <w:uiPriority w:val="0"/>
    <w:pPr>
      <w:widowControl w:val="0"/>
      <w:shd w:val="clear" w:color="auto" w:fill="auto"/>
      <w:spacing w:before="120" w:line="271" w:lineRule="exac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2020-10-27T08:27:11Z</dcterms:created>
  <dc:creator>Administrator.PC-201912301200</dc:creator>
  <cp:lastModifiedBy>嘿嘿嘿</cp:lastModifiedBy>
  <dcterms:modified xsi:type="dcterms:W3CDTF">2020-10-27T08:56:34Z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