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center"/>
        <w:rPr>
          <w:rFonts w:hint="eastAsia" w:ascii="方正大标宋简体" w:hAnsi="方正大标宋简体" w:eastAsia="方正大标宋简体" w:cs="方正大标宋简体"/>
          <w:i w:val="0"/>
          <w:caps w:val="0"/>
          <w:color w:val="333333"/>
          <w:spacing w:val="0"/>
          <w:sz w:val="44"/>
          <w:szCs w:val="44"/>
        </w:rPr>
      </w:pPr>
      <w:bookmarkStart w:id="274" w:name="_GoBack"/>
      <w:r>
        <w:rPr>
          <w:rFonts w:hint="eastAsia" w:ascii="方正大标宋简体" w:hAnsi="方正大标宋简体" w:eastAsia="方正大标宋简体" w:cs="方正大标宋简体"/>
          <w:i w:val="0"/>
          <w:caps w:val="0"/>
          <w:color w:val="333333"/>
          <w:spacing w:val="0"/>
          <w:sz w:val="44"/>
          <w:szCs w:val="44"/>
          <w:lang w:val="en-US" w:eastAsia="zh-CN"/>
        </w:rPr>
        <w:t>西塞山区</w:t>
      </w:r>
      <w:r>
        <w:rPr>
          <w:rFonts w:hint="eastAsia" w:ascii="方正大标宋简体" w:hAnsi="方正大标宋简体" w:eastAsia="方正大标宋简体" w:cs="方正大标宋简体"/>
          <w:i w:val="0"/>
          <w:caps w:val="0"/>
          <w:color w:val="333333"/>
          <w:spacing w:val="0"/>
          <w:sz w:val="44"/>
          <w:szCs w:val="44"/>
        </w:rPr>
        <w:t>人民政府关于印发</w:t>
      </w:r>
      <w:r>
        <w:rPr>
          <w:rFonts w:hint="eastAsia" w:ascii="方正大标宋简体" w:hAnsi="方正大标宋简体" w:eastAsia="方正大标宋简体" w:cs="方正大标宋简体"/>
          <w:i w:val="0"/>
          <w:caps w:val="0"/>
          <w:color w:val="333333"/>
          <w:spacing w:val="0"/>
          <w:sz w:val="44"/>
          <w:szCs w:val="44"/>
          <w:lang w:val="en-US" w:eastAsia="zh-CN"/>
        </w:rPr>
        <w:t>西塞山区</w:t>
      </w:r>
      <w:r>
        <w:rPr>
          <w:rFonts w:hint="eastAsia" w:ascii="方正大标宋简体" w:hAnsi="方正大标宋简体" w:eastAsia="方正大标宋简体" w:cs="方正大标宋简体"/>
          <w:w w:val="90"/>
          <w:sz w:val="44"/>
          <w:szCs w:val="44"/>
        </w:rPr>
        <w:t>国民经济和社会发展第十四个</w:t>
      </w:r>
      <w:r>
        <w:rPr>
          <w:rFonts w:hint="eastAsia" w:ascii="方正大标宋简体" w:hAnsi="方正大标宋简体" w:eastAsia="方正大标宋简体" w:cs="方正大标宋简体"/>
          <w:spacing w:val="17"/>
          <w:w w:val="90"/>
          <w:sz w:val="44"/>
          <w:szCs w:val="44"/>
        </w:rPr>
        <w:t>五年规划和二O三五年远景目标纲要</w:t>
      </w:r>
      <w:r>
        <w:rPr>
          <w:rFonts w:hint="eastAsia" w:ascii="方正大标宋简体" w:hAnsi="方正大标宋简体" w:eastAsia="方正大标宋简体" w:cs="方正大标宋简体"/>
          <w:i w:val="0"/>
          <w:caps w:val="0"/>
          <w:color w:val="333333"/>
          <w:spacing w:val="0"/>
          <w:sz w:val="44"/>
          <w:szCs w:val="44"/>
        </w:rPr>
        <w:t>的通知</w:t>
      </w:r>
    </w:p>
    <w:p>
      <w:pPr>
        <w:pStyle w:val="2"/>
        <w:ind w:left="0" w:leftChars="0" w:firstLine="0" w:firstLineChars="0"/>
        <w:rPr>
          <w:rFonts w:hint="eastAsia" w:ascii="仿宋_GB2312" w:hAnsi="仿宋_GB2312" w:eastAsia="仿宋_GB2312" w:cs="仿宋_GB2312"/>
          <w:i w:val="0"/>
          <w:caps w:val="0"/>
          <w:color w:val="333333"/>
          <w:spacing w:val="0"/>
          <w:sz w:val="32"/>
          <w:szCs w:val="32"/>
          <w:lang w:val="en-US" w:eastAsia="zh-CN"/>
        </w:rPr>
      </w:pPr>
    </w:p>
    <w:p>
      <w:pPr>
        <w:pStyle w:val="2"/>
        <w:ind w:left="0" w:leftChars="0" w:firstLine="0" w:firstLineChars="0"/>
        <w:rPr>
          <w:rFonts w:hint="eastAsia" w:ascii="仿宋_GB2312" w:hAnsi="仿宋_GB2312" w:eastAsia="仿宋_GB2312" w:cs="仿宋_GB2312"/>
          <w:i w:val="0"/>
          <w:caps w:val="0"/>
          <w:color w:val="333333"/>
          <w:spacing w:val="0"/>
          <w:sz w:val="32"/>
          <w:szCs w:val="32"/>
          <w:lang w:val="en-US" w:eastAsia="zh-CN"/>
        </w:rPr>
      </w:pPr>
      <w:r>
        <w:rPr>
          <w:rFonts w:hint="eastAsia" w:ascii="仿宋_GB2312" w:hAnsi="仿宋_GB2312" w:eastAsia="仿宋_GB2312" w:cs="仿宋_GB2312"/>
          <w:i w:val="0"/>
          <w:caps w:val="0"/>
          <w:color w:val="333333"/>
          <w:spacing w:val="0"/>
          <w:sz w:val="32"/>
          <w:szCs w:val="32"/>
          <w:lang w:val="en-US" w:eastAsia="zh-CN"/>
        </w:rPr>
        <w:t>西塞山工业园区管委会、各街道办事处、区政府各部门：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现将《</w:t>
      </w:r>
      <w:r>
        <w:rPr>
          <w:rFonts w:hint="eastAsia" w:ascii="仿宋_GB2312" w:hAnsi="仿宋_GB2312" w:eastAsia="仿宋_GB2312" w:cs="仿宋_GB2312"/>
          <w:i w:val="0"/>
          <w:caps w:val="0"/>
          <w:color w:val="333333"/>
          <w:spacing w:val="0"/>
          <w:sz w:val="32"/>
          <w:szCs w:val="32"/>
          <w:lang w:val="en-US" w:eastAsia="zh-CN"/>
        </w:rPr>
        <w:t>西塞山区</w:t>
      </w:r>
      <w:r>
        <w:rPr>
          <w:rFonts w:hint="eastAsia" w:ascii="仿宋_GB2312" w:hAnsi="仿宋_GB2312" w:eastAsia="仿宋_GB2312" w:cs="仿宋_GB2312"/>
          <w:w w:val="90"/>
          <w:sz w:val="32"/>
          <w:szCs w:val="32"/>
        </w:rPr>
        <w:t>国民经济和社会发展第十四个</w:t>
      </w:r>
      <w:r>
        <w:rPr>
          <w:rFonts w:hint="eastAsia" w:ascii="仿宋_GB2312" w:hAnsi="仿宋_GB2312" w:eastAsia="仿宋_GB2312" w:cs="仿宋_GB2312"/>
          <w:spacing w:val="17"/>
          <w:w w:val="90"/>
          <w:sz w:val="32"/>
          <w:szCs w:val="32"/>
        </w:rPr>
        <w:t>五年规划和二O三五年远景目标纲要</w:t>
      </w:r>
      <w:r>
        <w:rPr>
          <w:rFonts w:hint="eastAsia" w:ascii="仿宋_GB2312" w:hAnsi="仿宋_GB2312" w:eastAsia="仿宋_GB2312" w:cs="仿宋_GB2312"/>
          <w:i w:val="0"/>
          <w:caps w:val="0"/>
          <w:color w:val="333333"/>
          <w:spacing w:val="0"/>
          <w:sz w:val="32"/>
          <w:szCs w:val="32"/>
        </w:rPr>
        <w:t>》印发给你们，请认真贯彻执行。</w:t>
      </w:r>
    </w:p>
    <w:p>
      <w:pPr>
        <w:pStyle w:val="2"/>
        <w:rPr>
          <w:rFonts w:hint="eastAsia" w:ascii="仿宋_GB2312" w:hAnsi="仿宋_GB2312" w:eastAsia="仿宋_GB2312" w:cs="仿宋_GB2312"/>
          <w:i w:val="0"/>
          <w:caps w:val="0"/>
          <w:color w:val="333333"/>
          <w:spacing w:val="0"/>
          <w:sz w:val="32"/>
          <w:szCs w:val="32"/>
        </w:rPr>
      </w:pPr>
    </w:p>
    <w:p>
      <w:pPr>
        <w:rPr>
          <w:rFonts w:hint="eastAsia" w:ascii="仿宋_GB2312" w:hAnsi="仿宋_GB2312" w:eastAsia="仿宋_GB2312" w:cs="仿宋_GB2312"/>
          <w:i w:val="0"/>
          <w:caps w:val="0"/>
          <w:color w:val="333333"/>
          <w:spacing w:val="0"/>
          <w:sz w:val="32"/>
          <w:szCs w:val="32"/>
        </w:rPr>
      </w:pPr>
    </w:p>
    <w:p>
      <w:pPr>
        <w:pStyle w:val="2"/>
        <w:ind w:firstLine="5120" w:firstLineChars="1600"/>
        <w:rPr>
          <w:rFonts w:hint="eastAsia" w:ascii="仿宋_GB2312" w:hAnsi="仿宋_GB2312" w:eastAsia="仿宋_GB2312" w:cs="仿宋_GB2312"/>
          <w:i w:val="0"/>
          <w:caps w:val="0"/>
          <w:color w:val="333333"/>
          <w:spacing w:val="0"/>
          <w:sz w:val="32"/>
          <w:szCs w:val="32"/>
          <w:lang w:val="en-US" w:eastAsia="zh-CN"/>
        </w:rPr>
      </w:pPr>
      <w:r>
        <w:rPr>
          <w:rFonts w:hint="eastAsia" w:ascii="仿宋_GB2312" w:hAnsi="仿宋_GB2312" w:eastAsia="仿宋_GB2312" w:cs="仿宋_GB2312"/>
          <w:i w:val="0"/>
          <w:caps w:val="0"/>
          <w:color w:val="333333"/>
          <w:spacing w:val="0"/>
          <w:sz w:val="32"/>
          <w:szCs w:val="32"/>
          <w:lang w:val="en-US" w:eastAsia="zh-CN"/>
        </w:rPr>
        <w:t>西塞山区人民政府</w:t>
      </w:r>
    </w:p>
    <w:p>
      <w:pPr>
        <w:rPr>
          <w:rFonts w:hint="eastAsia" w:ascii="仿宋_GB2312" w:hAnsi="仿宋_GB2312" w:eastAsia="仿宋_GB2312" w:cs="仿宋_GB2312"/>
          <w:i w:val="0"/>
          <w:caps w:val="0"/>
          <w:color w:val="333333"/>
          <w:spacing w:val="0"/>
          <w:sz w:val="32"/>
          <w:szCs w:val="32"/>
          <w:lang w:val="en-US" w:eastAsia="zh-CN"/>
        </w:rPr>
      </w:pPr>
      <w:r>
        <w:rPr>
          <w:rFonts w:hint="eastAsia" w:ascii="仿宋_GB2312" w:hAnsi="仿宋_GB2312" w:eastAsia="仿宋_GB2312" w:cs="仿宋_GB2312"/>
          <w:i w:val="0"/>
          <w:caps w:val="0"/>
          <w:color w:val="333333"/>
          <w:spacing w:val="0"/>
          <w:sz w:val="32"/>
          <w:szCs w:val="32"/>
          <w:lang w:val="en-US" w:eastAsia="zh-CN"/>
        </w:rPr>
        <w:t xml:space="preserve">                                  2021年12月25日</w:t>
      </w:r>
    </w:p>
    <w:p>
      <w:pPr>
        <w:pStyle w:val="2"/>
        <w:rPr>
          <w:rFonts w:hint="eastAsia" w:ascii="仿宋_GB2312" w:hAnsi="仿宋_GB2312" w:eastAsia="仿宋_GB2312" w:cs="仿宋_GB2312"/>
          <w:i w:val="0"/>
          <w:caps w:val="0"/>
          <w:color w:val="333333"/>
          <w:spacing w:val="0"/>
          <w:sz w:val="32"/>
          <w:szCs w:val="32"/>
          <w:lang w:val="en-US" w:eastAsia="zh-CN"/>
        </w:rPr>
      </w:pPr>
    </w:p>
    <w:p>
      <w:pPr>
        <w:rPr>
          <w:rFonts w:hint="eastAsia" w:ascii="仿宋_GB2312" w:hAnsi="仿宋_GB2312" w:eastAsia="仿宋_GB2312" w:cs="仿宋_GB2312"/>
          <w:i w:val="0"/>
          <w:caps w:val="0"/>
          <w:color w:val="333333"/>
          <w:spacing w:val="0"/>
          <w:sz w:val="32"/>
          <w:szCs w:val="32"/>
          <w:lang w:val="en-US" w:eastAsia="zh-CN"/>
        </w:rPr>
      </w:pPr>
    </w:p>
    <w:p>
      <w:pPr>
        <w:pStyle w:val="2"/>
        <w:rPr>
          <w:rFonts w:hint="eastAsia" w:ascii="仿宋_GB2312" w:hAnsi="仿宋_GB2312" w:eastAsia="仿宋_GB2312" w:cs="仿宋_GB2312"/>
          <w:i w:val="0"/>
          <w:caps w:val="0"/>
          <w:color w:val="333333"/>
          <w:spacing w:val="0"/>
          <w:sz w:val="32"/>
          <w:szCs w:val="32"/>
          <w:lang w:val="en-US" w:eastAsia="zh-CN"/>
        </w:rPr>
      </w:pPr>
    </w:p>
    <w:p>
      <w:pPr>
        <w:rPr>
          <w:rFonts w:hint="eastAsia" w:ascii="仿宋_GB2312" w:hAnsi="仿宋_GB2312" w:eastAsia="仿宋_GB2312" w:cs="仿宋_GB2312"/>
          <w:i w:val="0"/>
          <w:caps w:val="0"/>
          <w:color w:val="333333"/>
          <w:spacing w:val="0"/>
          <w:sz w:val="32"/>
          <w:szCs w:val="32"/>
          <w:lang w:val="en-US" w:eastAsia="zh-CN"/>
        </w:rPr>
      </w:pPr>
    </w:p>
    <w:p>
      <w:pPr>
        <w:pStyle w:val="2"/>
        <w:rPr>
          <w:rFonts w:hint="eastAsia" w:ascii="仿宋_GB2312" w:hAnsi="仿宋_GB2312" w:eastAsia="仿宋_GB2312" w:cs="仿宋_GB2312"/>
          <w:i w:val="0"/>
          <w:caps w:val="0"/>
          <w:color w:val="333333"/>
          <w:spacing w:val="0"/>
          <w:sz w:val="32"/>
          <w:szCs w:val="32"/>
          <w:lang w:val="en-US" w:eastAsia="zh-CN"/>
        </w:rPr>
      </w:pPr>
    </w:p>
    <w:p>
      <w:pPr>
        <w:rPr>
          <w:rFonts w:hint="eastAsia" w:ascii="仿宋_GB2312" w:hAnsi="仿宋_GB2312" w:eastAsia="仿宋_GB2312" w:cs="仿宋_GB2312"/>
          <w:i w:val="0"/>
          <w:caps w:val="0"/>
          <w:color w:val="333333"/>
          <w:spacing w:val="0"/>
          <w:sz w:val="32"/>
          <w:szCs w:val="32"/>
          <w:lang w:val="en-US" w:eastAsia="zh-CN"/>
        </w:rPr>
      </w:pPr>
    </w:p>
    <w:p>
      <w:pPr>
        <w:pStyle w:val="2"/>
        <w:rPr>
          <w:rFonts w:hint="eastAsia" w:ascii="仿宋_GB2312" w:hAnsi="仿宋_GB2312" w:eastAsia="仿宋_GB2312" w:cs="仿宋_GB2312"/>
          <w:i w:val="0"/>
          <w:caps w:val="0"/>
          <w:color w:val="333333"/>
          <w:spacing w:val="0"/>
          <w:sz w:val="32"/>
          <w:szCs w:val="32"/>
          <w:lang w:val="en-US" w:eastAsia="zh-CN"/>
        </w:rPr>
      </w:pPr>
    </w:p>
    <w:p>
      <w:pPr>
        <w:rPr>
          <w:rFonts w:hint="eastAsia" w:ascii="仿宋_GB2312" w:hAnsi="仿宋_GB2312" w:eastAsia="仿宋_GB2312" w:cs="仿宋_GB2312"/>
          <w:i w:val="0"/>
          <w:caps w:val="0"/>
          <w:color w:val="333333"/>
          <w:spacing w:val="0"/>
          <w:sz w:val="32"/>
          <w:szCs w:val="32"/>
          <w:lang w:val="en-US" w:eastAsia="zh-CN"/>
        </w:rPr>
      </w:pPr>
    </w:p>
    <w:p>
      <w:pPr>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目   录</w:t>
      </w:r>
    </w:p>
    <w:p>
      <w:pPr>
        <w:pStyle w:val="6"/>
        <w:tabs>
          <w:tab w:val="right" w:leader="dot" w:pos="8844"/>
        </w:tabs>
        <w:spacing w:line="560" w:lineRule="exact"/>
      </w:pPr>
      <w:r>
        <w:rPr>
          <w:rFonts w:ascii="Times New Roman" w:hAnsi="Times New Roman" w:eastAsia="宋体" w:cs="Times New Roman"/>
        </w:rPr>
        <w:fldChar w:fldCharType="begin"/>
      </w:r>
      <w:r>
        <w:rPr>
          <w:rFonts w:ascii="Times New Roman" w:hAnsi="Times New Roman" w:eastAsia="宋体" w:cs="Times New Roman"/>
        </w:rPr>
        <w:instrText xml:space="preserve"> TOC \o "1-2" \h \z \u </w:instrText>
      </w:r>
      <w:r>
        <w:rPr>
          <w:rFonts w:ascii="Times New Roman" w:hAnsi="Times New Roman" w:eastAsia="宋体" w:cs="Times New Roman"/>
        </w:rPr>
        <w:fldChar w:fldCharType="separate"/>
      </w:r>
      <w:r>
        <w:rPr>
          <w:rFonts w:ascii="Times New Roman" w:hAnsi="Times New Roman" w:eastAsia="宋体" w:cs="Times New Roman"/>
        </w:rPr>
        <w:fldChar w:fldCharType="begin"/>
      </w:r>
      <w:r>
        <w:rPr>
          <w:rFonts w:ascii="Times New Roman" w:hAnsi="Times New Roman" w:eastAsia="宋体" w:cs="Times New Roman"/>
        </w:rPr>
        <w:instrText xml:space="preserve"> HYPERLINK \l _Toc14087 </w:instrText>
      </w:r>
      <w:r>
        <w:rPr>
          <w:rFonts w:ascii="Times New Roman" w:hAnsi="Times New Roman" w:eastAsia="宋体" w:cs="Times New Roman"/>
        </w:rPr>
        <w:fldChar w:fldCharType="separate"/>
      </w:r>
      <w:r>
        <w:rPr>
          <w:rFonts w:ascii="Times New Roman" w:hAnsi="Times New Roman" w:eastAsia="黑体" w:cs="Times New Roman"/>
          <w:kern w:val="32"/>
          <w:szCs w:val="32"/>
        </w:rPr>
        <w:t>第一章 全面建成小康社会 开启全面建设社会主义现代化新征程</w:t>
      </w:r>
      <w:r>
        <w:tab/>
      </w:r>
      <w:r>
        <w:fldChar w:fldCharType="begin"/>
      </w:r>
      <w:r>
        <w:instrText xml:space="preserve"> PAGEREF _Toc14087 </w:instrText>
      </w:r>
      <w:r>
        <w:fldChar w:fldCharType="separate"/>
      </w:r>
      <w:r>
        <w:t>1</w:t>
      </w:r>
      <w:r>
        <w:fldChar w:fldCharType="end"/>
      </w:r>
      <w:r>
        <w:rPr>
          <w:rFonts w:ascii="Times New Roman" w:hAnsi="Times New Roman" w:eastAsia="宋体" w:cs="Times New Roman"/>
        </w:rPr>
        <w:fldChar w:fldCharType="end"/>
      </w:r>
    </w:p>
    <w:p>
      <w:pPr>
        <w:pStyle w:val="8"/>
        <w:tabs>
          <w:tab w:val="right" w:leader="dot" w:pos="8844"/>
        </w:tabs>
        <w:spacing w:line="560" w:lineRule="exact"/>
        <w:ind w:left="480"/>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_Toc2730 </w:instrText>
      </w:r>
      <w:r>
        <w:rPr>
          <w:rFonts w:ascii="Times New Roman" w:hAnsi="Times New Roman" w:eastAsia="宋体" w:cs="Times New Roman"/>
        </w:rPr>
        <w:fldChar w:fldCharType="separate"/>
      </w:r>
      <w:r>
        <w:rPr>
          <w:rFonts w:ascii="Times New Roman" w:hAnsi="Times New Roman" w:eastAsia="楷体_GB2312" w:cs="Times New Roman"/>
          <w:bCs/>
          <w:szCs w:val="32"/>
        </w:rPr>
        <w:t>第一节  决胜全面建成小康社会取得决定性成就</w:t>
      </w:r>
      <w:r>
        <w:tab/>
      </w:r>
      <w:r>
        <w:fldChar w:fldCharType="begin"/>
      </w:r>
      <w:r>
        <w:instrText xml:space="preserve"> PAGEREF _Toc2730 </w:instrText>
      </w:r>
      <w:r>
        <w:fldChar w:fldCharType="separate"/>
      </w:r>
      <w:r>
        <w:t>1</w:t>
      </w:r>
      <w:r>
        <w:fldChar w:fldCharType="end"/>
      </w:r>
      <w:r>
        <w:rPr>
          <w:rFonts w:ascii="Times New Roman" w:hAnsi="Times New Roman" w:eastAsia="宋体" w:cs="Times New Roman"/>
        </w:rPr>
        <w:fldChar w:fldCharType="end"/>
      </w:r>
    </w:p>
    <w:p>
      <w:pPr>
        <w:pStyle w:val="8"/>
        <w:tabs>
          <w:tab w:val="right" w:leader="dot" w:pos="8844"/>
        </w:tabs>
        <w:spacing w:line="560" w:lineRule="exact"/>
        <w:ind w:left="480"/>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_Toc23506 </w:instrText>
      </w:r>
      <w:r>
        <w:rPr>
          <w:rFonts w:ascii="Times New Roman" w:hAnsi="Times New Roman" w:eastAsia="宋体" w:cs="Times New Roman"/>
        </w:rPr>
        <w:fldChar w:fldCharType="separate"/>
      </w:r>
      <w:r>
        <w:rPr>
          <w:rFonts w:ascii="Times New Roman" w:hAnsi="Times New Roman" w:eastAsia="楷体_GB2312" w:cs="Times New Roman"/>
          <w:bCs/>
          <w:szCs w:val="32"/>
        </w:rPr>
        <w:t>第二节  发展环境</w:t>
      </w:r>
      <w:r>
        <w:tab/>
      </w:r>
      <w:r>
        <w:fldChar w:fldCharType="begin"/>
      </w:r>
      <w:r>
        <w:instrText xml:space="preserve"> PAGEREF _Toc23506 </w:instrText>
      </w:r>
      <w:r>
        <w:fldChar w:fldCharType="separate"/>
      </w:r>
      <w:r>
        <w:t>6</w:t>
      </w:r>
      <w:r>
        <w:fldChar w:fldCharType="end"/>
      </w:r>
      <w:r>
        <w:rPr>
          <w:rFonts w:ascii="Times New Roman" w:hAnsi="Times New Roman" w:eastAsia="宋体" w:cs="Times New Roman"/>
        </w:rPr>
        <w:fldChar w:fldCharType="end"/>
      </w:r>
    </w:p>
    <w:p>
      <w:pPr>
        <w:pStyle w:val="8"/>
        <w:tabs>
          <w:tab w:val="right" w:leader="dot" w:pos="8844"/>
        </w:tabs>
        <w:spacing w:line="560" w:lineRule="exact"/>
        <w:ind w:left="480"/>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_Toc28468 </w:instrText>
      </w:r>
      <w:r>
        <w:rPr>
          <w:rFonts w:ascii="Times New Roman" w:hAnsi="Times New Roman" w:eastAsia="宋体" w:cs="Times New Roman"/>
        </w:rPr>
        <w:fldChar w:fldCharType="separate"/>
      </w:r>
      <w:r>
        <w:rPr>
          <w:rFonts w:ascii="Times New Roman" w:hAnsi="Times New Roman" w:eastAsia="楷体_GB2312" w:cs="Times New Roman"/>
          <w:bCs/>
          <w:szCs w:val="32"/>
        </w:rPr>
        <w:t>第三节  机遇挑战</w:t>
      </w:r>
      <w:r>
        <w:tab/>
      </w:r>
      <w:r>
        <w:fldChar w:fldCharType="begin"/>
      </w:r>
      <w:r>
        <w:instrText xml:space="preserve"> PAGEREF _Toc28468 </w:instrText>
      </w:r>
      <w:r>
        <w:fldChar w:fldCharType="separate"/>
      </w:r>
      <w:r>
        <w:t>8</w:t>
      </w:r>
      <w:r>
        <w:fldChar w:fldCharType="end"/>
      </w:r>
      <w:r>
        <w:rPr>
          <w:rFonts w:ascii="Times New Roman" w:hAnsi="Times New Roman" w:eastAsia="宋体" w:cs="Times New Roman"/>
        </w:rPr>
        <w:fldChar w:fldCharType="end"/>
      </w:r>
    </w:p>
    <w:p>
      <w:pPr>
        <w:pStyle w:val="6"/>
        <w:tabs>
          <w:tab w:val="right" w:leader="dot" w:pos="8844"/>
        </w:tabs>
        <w:spacing w:line="560" w:lineRule="exact"/>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_Toc28269 </w:instrText>
      </w:r>
      <w:r>
        <w:rPr>
          <w:rFonts w:ascii="Times New Roman" w:hAnsi="Times New Roman" w:eastAsia="宋体" w:cs="Times New Roman"/>
        </w:rPr>
        <w:fldChar w:fldCharType="separate"/>
      </w:r>
      <w:r>
        <w:rPr>
          <w:rFonts w:ascii="Times New Roman" w:hAnsi="Times New Roman" w:eastAsia="黑体" w:cs="Times New Roman"/>
          <w:kern w:val="32"/>
          <w:szCs w:val="32"/>
        </w:rPr>
        <w:t>第二章  总体要求</w:t>
      </w:r>
      <w:r>
        <w:tab/>
      </w:r>
      <w:r>
        <w:fldChar w:fldCharType="begin"/>
      </w:r>
      <w:r>
        <w:instrText xml:space="preserve"> PAGEREF _Toc28269 </w:instrText>
      </w:r>
      <w:r>
        <w:fldChar w:fldCharType="separate"/>
      </w:r>
      <w:r>
        <w:t>13</w:t>
      </w:r>
      <w:r>
        <w:fldChar w:fldCharType="end"/>
      </w:r>
      <w:r>
        <w:rPr>
          <w:rFonts w:ascii="Times New Roman" w:hAnsi="Times New Roman" w:eastAsia="宋体" w:cs="Times New Roman"/>
        </w:rPr>
        <w:fldChar w:fldCharType="end"/>
      </w:r>
    </w:p>
    <w:p>
      <w:pPr>
        <w:pStyle w:val="8"/>
        <w:tabs>
          <w:tab w:val="right" w:leader="dot" w:pos="8844"/>
        </w:tabs>
        <w:spacing w:line="560" w:lineRule="exact"/>
        <w:ind w:left="480"/>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_Toc6867 </w:instrText>
      </w:r>
      <w:r>
        <w:rPr>
          <w:rFonts w:ascii="Times New Roman" w:hAnsi="Times New Roman" w:eastAsia="宋体" w:cs="Times New Roman"/>
        </w:rPr>
        <w:fldChar w:fldCharType="separate"/>
      </w:r>
      <w:r>
        <w:rPr>
          <w:rFonts w:ascii="Times New Roman" w:hAnsi="Times New Roman" w:eastAsia="楷体_GB2312" w:cs="Times New Roman"/>
          <w:bCs/>
          <w:szCs w:val="32"/>
        </w:rPr>
        <w:t>第一节  指导思想</w:t>
      </w:r>
      <w:r>
        <w:tab/>
      </w:r>
      <w:r>
        <w:fldChar w:fldCharType="begin"/>
      </w:r>
      <w:r>
        <w:instrText xml:space="preserve"> PAGEREF _Toc6867 </w:instrText>
      </w:r>
      <w:r>
        <w:fldChar w:fldCharType="separate"/>
      </w:r>
      <w:r>
        <w:t>13</w:t>
      </w:r>
      <w:r>
        <w:fldChar w:fldCharType="end"/>
      </w:r>
      <w:r>
        <w:rPr>
          <w:rFonts w:ascii="Times New Roman" w:hAnsi="Times New Roman" w:eastAsia="宋体" w:cs="Times New Roman"/>
        </w:rPr>
        <w:fldChar w:fldCharType="end"/>
      </w:r>
    </w:p>
    <w:p>
      <w:pPr>
        <w:pStyle w:val="8"/>
        <w:tabs>
          <w:tab w:val="right" w:leader="dot" w:pos="8844"/>
        </w:tabs>
        <w:spacing w:line="560" w:lineRule="exact"/>
        <w:ind w:left="480"/>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_Toc21726 </w:instrText>
      </w:r>
      <w:r>
        <w:rPr>
          <w:rFonts w:ascii="Times New Roman" w:hAnsi="Times New Roman" w:eastAsia="宋体" w:cs="Times New Roman"/>
        </w:rPr>
        <w:fldChar w:fldCharType="separate"/>
      </w:r>
      <w:r>
        <w:rPr>
          <w:rFonts w:ascii="Times New Roman" w:hAnsi="Times New Roman" w:eastAsia="楷体_GB2312" w:cs="Times New Roman"/>
          <w:bCs/>
          <w:szCs w:val="32"/>
        </w:rPr>
        <w:t>第二节  基本原则</w:t>
      </w:r>
      <w:r>
        <w:tab/>
      </w:r>
      <w:r>
        <w:fldChar w:fldCharType="begin"/>
      </w:r>
      <w:r>
        <w:instrText xml:space="preserve"> PAGEREF _Toc21726 </w:instrText>
      </w:r>
      <w:r>
        <w:fldChar w:fldCharType="separate"/>
      </w:r>
      <w:r>
        <w:t>13</w:t>
      </w:r>
      <w:r>
        <w:fldChar w:fldCharType="end"/>
      </w:r>
      <w:r>
        <w:rPr>
          <w:rFonts w:ascii="Times New Roman" w:hAnsi="Times New Roman" w:eastAsia="宋体" w:cs="Times New Roman"/>
        </w:rPr>
        <w:fldChar w:fldCharType="end"/>
      </w:r>
    </w:p>
    <w:p>
      <w:pPr>
        <w:pStyle w:val="8"/>
        <w:tabs>
          <w:tab w:val="right" w:leader="dot" w:pos="8844"/>
        </w:tabs>
        <w:spacing w:line="560" w:lineRule="exact"/>
        <w:ind w:left="480"/>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_Toc28852 </w:instrText>
      </w:r>
      <w:r>
        <w:rPr>
          <w:rFonts w:ascii="Times New Roman" w:hAnsi="Times New Roman" w:eastAsia="宋体" w:cs="Times New Roman"/>
        </w:rPr>
        <w:fldChar w:fldCharType="separate"/>
      </w:r>
      <w:r>
        <w:rPr>
          <w:rFonts w:ascii="Times New Roman" w:hAnsi="Times New Roman" w:eastAsia="楷体_GB2312" w:cs="Times New Roman"/>
          <w:bCs/>
          <w:szCs w:val="32"/>
        </w:rPr>
        <w:t>第三节  战略定位</w:t>
      </w:r>
      <w:r>
        <w:tab/>
      </w:r>
      <w:r>
        <w:fldChar w:fldCharType="begin"/>
      </w:r>
      <w:r>
        <w:instrText xml:space="preserve"> PAGEREF _Toc28852 </w:instrText>
      </w:r>
      <w:r>
        <w:fldChar w:fldCharType="separate"/>
      </w:r>
      <w:r>
        <w:t>14</w:t>
      </w:r>
      <w:r>
        <w:fldChar w:fldCharType="end"/>
      </w:r>
      <w:r>
        <w:rPr>
          <w:rFonts w:ascii="Times New Roman" w:hAnsi="Times New Roman" w:eastAsia="宋体" w:cs="Times New Roman"/>
        </w:rPr>
        <w:fldChar w:fldCharType="end"/>
      </w:r>
    </w:p>
    <w:p>
      <w:pPr>
        <w:pStyle w:val="8"/>
        <w:tabs>
          <w:tab w:val="right" w:leader="dot" w:pos="8844"/>
        </w:tabs>
        <w:spacing w:line="560" w:lineRule="exact"/>
        <w:ind w:left="480"/>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_Toc26691 </w:instrText>
      </w:r>
      <w:r>
        <w:rPr>
          <w:rFonts w:ascii="Times New Roman" w:hAnsi="Times New Roman" w:eastAsia="宋体" w:cs="Times New Roman"/>
        </w:rPr>
        <w:fldChar w:fldCharType="separate"/>
      </w:r>
      <w:r>
        <w:rPr>
          <w:rFonts w:ascii="Times New Roman" w:hAnsi="Times New Roman" w:eastAsia="楷体_GB2312" w:cs="Times New Roman"/>
          <w:bCs/>
          <w:szCs w:val="32"/>
        </w:rPr>
        <w:t>第四节  目标指标</w:t>
      </w:r>
      <w:r>
        <w:tab/>
      </w:r>
      <w:r>
        <w:fldChar w:fldCharType="begin"/>
      </w:r>
      <w:r>
        <w:instrText xml:space="preserve"> PAGEREF _Toc26691 </w:instrText>
      </w:r>
      <w:r>
        <w:fldChar w:fldCharType="separate"/>
      </w:r>
      <w:r>
        <w:t>15</w:t>
      </w:r>
      <w:r>
        <w:fldChar w:fldCharType="end"/>
      </w:r>
      <w:r>
        <w:rPr>
          <w:rFonts w:ascii="Times New Roman" w:hAnsi="Times New Roman" w:eastAsia="宋体" w:cs="Times New Roman"/>
        </w:rPr>
        <w:fldChar w:fldCharType="end"/>
      </w:r>
    </w:p>
    <w:p>
      <w:pPr>
        <w:pStyle w:val="6"/>
        <w:tabs>
          <w:tab w:val="right" w:leader="dot" w:pos="8844"/>
        </w:tabs>
        <w:spacing w:line="560" w:lineRule="exact"/>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_Toc26007 </w:instrText>
      </w:r>
      <w:r>
        <w:rPr>
          <w:rFonts w:ascii="Times New Roman" w:hAnsi="Times New Roman" w:eastAsia="宋体" w:cs="Times New Roman"/>
        </w:rPr>
        <w:fldChar w:fldCharType="separate"/>
      </w:r>
      <w:r>
        <w:rPr>
          <w:rFonts w:ascii="Times New Roman" w:hAnsi="Times New Roman" w:eastAsia="黑体" w:cs="Times New Roman"/>
          <w:kern w:val="32"/>
          <w:szCs w:val="32"/>
        </w:rPr>
        <w:t>第三章  优化区域空间布局 加快全域一体化发展</w:t>
      </w:r>
      <w:r>
        <w:tab/>
      </w:r>
      <w:r>
        <w:fldChar w:fldCharType="begin"/>
      </w:r>
      <w:r>
        <w:instrText xml:space="preserve"> PAGEREF _Toc26007 </w:instrText>
      </w:r>
      <w:r>
        <w:fldChar w:fldCharType="separate"/>
      </w:r>
      <w:r>
        <w:t>19</w:t>
      </w:r>
      <w:r>
        <w:fldChar w:fldCharType="end"/>
      </w:r>
      <w:r>
        <w:rPr>
          <w:rFonts w:ascii="Times New Roman" w:hAnsi="Times New Roman" w:eastAsia="宋体" w:cs="Times New Roman"/>
        </w:rPr>
        <w:fldChar w:fldCharType="end"/>
      </w:r>
    </w:p>
    <w:p>
      <w:pPr>
        <w:pStyle w:val="8"/>
        <w:tabs>
          <w:tab w:val="right" w:leader="dot" w:pos="8844"/>
        </w:tabs>
        <w:spacing w:line="560" w:lineRule="exact"/>
        <w:ind w:left="480"/>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_Toc12806 </w:instrText>
      </w:r>
      <w:r>
        <w:rPr>
          <w:rFonts w:ascii="Times New Roman" w:hAnsi="Times New Roman" w:eastAsia="宋体" w:cs="Times New Roman"/>
        </w:rPr>
        <w:fldChar w:fldCharType="separate"/>
      </w:r>
      <w:r>
        <w:rPr>
          <w:rFonts w:ascii="Times New Roman" w:hAnsi="Times New Roman" w:eastAsia="楷体_GB2312" w:cs="Times New Roman"/>
          <w:bCs/>
          <w:szCs w:val="32"/>
        </w:rPr>
        <w:t>第一节  优化空间发展总体布局</w:t>
      </w:r>
      <w:r>
        <w:tab/>
      </w:r>
      <w:r>
        <w:fldChar w:fldCharType="begin"/>
      </w:r>
      <w:r>
        <w:instrText xml:space="preserve"> PAGEREF _Toc12806 </w:instrText>
      </w:r>
      <w:r>
        <w:fldChar w:fldCharType="separate"/>
      </w:r>
      <w:r>
        <w:t>19</w:t>
      </w:r>
      <w:r>
        <w:fldChar w:fldCharType="end"/>
      </w:r>
      <w:r>
        <w:rPr>
          <w:rFonts w:ascii="Times New Roman" w:hAnsi="Times New Roman" w:eastAsia="宋体" w:cs="Times New Roman"/>
        </w:rPr>
        <w:fldChar w:fldCharType="end"/>
      </w:r>
    </w:p>
    <w:p>
      <w:pPr>
        <w:pStyle w:val="8"/>
        <w:tabs>
          <w:tab w:val="right" w:leader="dot" w:pos="8844"/>
        </w:tabs>
        <w:spacing w:line="560" w:lineRule="exact"/>
        <w:ind w:left="480"/>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_Toc28198 </w:instrText>
      </w:r>
      <w:r>
        <w:rPr>
          <w:rFonts w:ascii="Times New Roman" w:hAnsi="Times New Roman" w:eastAsia="宋体" w:cs="Times New Roman"/>
        </w:rPr>
        <w:fldChar w:fldCharType="separate"/>
      </w:r>
      <w:r>
        <w:rPr>
          <w:rFonts w:ascii="Times New Roman" w:hAnsi="Times New Roman" w:eastAsia="楷体_GB2312" w:cs="Times New Roman"/>
          <w:bCs/>
          <w:szCs w:val="32"/>
        </w:rPr>
        <w:t>第二节  推进区域融合发展</w:t>
      </w:r>
      <w:r>
        <w:tab/>
      </w:r>
      <w:r>
        <w:fldChar w:fldCharType="begin"/>
      </w:r>
      <w:r>
        <w:instrText xml:space="preserve"> PAGEREF _Toc28198 </w:instrText>
      </w:r>
      <w:r>
        <w:fldChar w:fldCharType="separate"/>
      </w:r>
      <w:r>
        <w:t>19</w:t>
      </w:r>
      <w:r>
        <w:fldChar w:fldCharType="end"/>
      </w:r>
      <w:r>
        <w:rPr>
          <w:rFonts w:ascii="Times New Roman" w:hAnsi="Times New Roman" w:eastAsia="宋体" w:cs="Times New Roman"/>
        </w:rPr>
        <w:fldChar w:fldCharType="end"/>
      </w:r>
    </w:p>
    <w:p>
      <w:pPr>
        <w:pStyle w:val="8"/>
        <w:tabs>
          <w:tab w:val="right" w:leader="dot" w:pos="8844"/>
        </w:tabs>
        <w:spacing w:line="560" w:lineRule="exact"/>
        <w:ind w:left="480"/>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_Toc18800 </w:instrText>
      </w:r>
      <w:r>
        <w:rPr>
          <w:rFonts w:ascii="Times New Roman" w:hAnsi="Times New Roman" w:eastAsia="宋体" w:cs="Times New Roman"/>
        </w:rPr>
        <w:fldChar w:fldCharType="separate"/>
      </w:r>
      <w:r>
        <w:rPr>
          <w:rFonts w:ascii="Times New Roman" w:hAnsi="Times New Roman" w:eastAsia="楷体_GB2312" w:cs="Times New Roman"/>
          <w:bCs/>
          <w:szCs w:val="32"/>
        </w:rPr>
        <w:t>第三节  加强国土空间管控</w:t>
      </w:r>
      <w:r>
        <w:tab/>
      </w:r>
      <w:r>
        <w:fldChar w:fldCharType="begin"/>
      </w:r>
      <w:r>
        <w:instrText xml:space="preserve"> PAGEREF _Toc18800 </w:instrText>
      </w:r>
      <w:r>
        <w:fldChar w:fldCharType="separate"/>
      </w:r>
      <w:r>
        <w:t>21</w:t>
      </w:r>
      <w:r>
        <w:fldChar w:fldCharType="end"/>
      </w:r>
      <w:r>
        <w:rPr>
          <w:rFonts w:ascii="Times New Roman" w:hAnsi="Times New Roman" w:eastAsia="宋体" w:cs="Times New Roman"/>
        </w:rPr>
        <w:fldChar w:fldCharType="end"/>
      </w:r>
    </w:p>
    <w:p>
      <w:pPr>
        <w:pStyle w:val="6"/>
        <w:tabs>
          <w:tab w:val="right" w:leader="dot" w:pos="8844"/>
        </w:tabs>
        <w:spacing w:line="560" w:lineRule="exact"/>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_Toc27840 </w:instrText>
      </w:r>
      <w:r>
        <w:rPr>
          <w:rFonts w:ascii="Times New Roman" w:hAnsi="Times New Roman" w:eastAsia="宋体" w:cs="Times New Roman"/>
        </w:rPr>
        <w:fldChar w:fldCharType="separate"/>
      </w:r>
      <w:r>
        <w:rPr>
          <w:rFonts w:ascii="Times New Roman" w:hAnsi="Times New Roman" w:eastAsia="黑体" w:cs="Times New Roman"/>
          <w:kern w:val="32"/>
          <w:szCs w:val="32"/>
        </w:rPr>
        <w:t>第四章  建设“全国科技创新百强区” 打造创新创业西塞山</w:t>
      </w:r>
      <w:r>
        <w:tab/>
      </w:r>
      <w:r>
        <w:fldChar w:fldCharType="begin"/>
      </w:r>
      <w:r>
        <w:instrText xml:space="preserve"> PAGEREF _Toc27840 </w:instrText>
      </w:r>
      <w:r>
        <w:fldChar w:fldCharType="separate"/>
      </w:r>
      <w:r>
        <w:t>22</w:t>
      </w:r>
      <w:r>
        <w:fldChar w:fldCharType="end"/>
      </w:r>
      <w:r>
        <w:rPr>
          <w:rFonts w:ascii="Times New Roman" w:hAnsi="Times New Roman" w:eastAsia="宋体" w:cs="Times New Roman"/>
        </w:rPr>
        <w:fldChar w:fldCharType="end"/>
      </w:r>
    </w:p>
    <w:p>
      <w:pPr>
        <w:pStyle w:val="8"/>
        <w:tabs>
          <w:tab w:val="right" w:leader="dot" w:pos="8844"/>
        </w:tabs>
        <w:spacing w:line="560" w:lineRule="exact"/>
        <w:ind w:left="480"/>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_Toc30389 </w:instrText>
      </w:r>
      <w:r>
        <w:rPr>
          <w:rFonts w:ascii="Times New Roman" w:hAnsi="Times New Roman" w:eastAsia="宋体" w:cs="Times New Roman"/>
        </w:rPr>
        <w:fldChar w:fldCharType="separate"/>
      </w:r>
      <w:r>
        <w:rPr>
          <w:rFonts w:ascii="Times New Roman" w:hAnsi="Times New Roman" w:eastAsia="楷体_GB2312" w:cs="Times New Roman"/>
          <w:bCs/>
          <w:szCs w:val="32"/>
        </w:rPr>
        <w:t>第一节  构建完备创新创业体系</w:t>
      </w:r>
      <w:r>
        <w:tab/>
      </w:r>
      <w:r>
        <w:fldChar w:fldCharType="begin"/>
      </w:r>
      <w:r>
        <w:instrText xml:space="preserve"> PAGEREF _Toc30389 </w:instrText>
      </w:r>
      <w:r>
        <w:fldChar w:fldCharType="separate"/>
      </w:r>
      <w:r>
        <w:t>22</w:t>
      </w:r>
      <w:r>
        <w:fldChar w:fldCharType="end"/>
      </w:r>
      <w:r>
        <w:rPr>
          <w:rFonts w:ascii="Times New Roman" w:hAnsi="Times New Roman" w:eastAsia="宋体" w:cs="Times New Roman"/>
        </w:rPr>
        <w:fldChar w:fldCharType="end"/>
      </w:r>
    </w:p>
    <w:p>
      <w:pPr>
        <w:pStyle w:val="8"/>
        <w:tabs>
          <w:tab w:val="right" w:leader="dot" w:pos="8844"/>
        </w:tabs>
        <w:spacing w:line="560" w:lineRule="exact"/>
        <w:ind w:left="480"/>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_Toc727 </w:instrText>
      </w:r>
      <w:r>
        <w:rPr>
          <w:rFonts w:ascii="Times New Roman" w:hAnsi="Times New Roman" w:eastAsia="宋体" w:cs="Times New Roman"/>
        </w:rPr>
        <w:fldChar w:fldCharType="separate"/>
      </w:r>
      <w:r>
        <w:rPr>
          <w:rFonts w:ascii="Times New Roman" w:hAnsi="Times New Roman" w:eastAsia="楷体_GB2312" w:cs="Times New Roman"/>
          <w:bCs/>
          <w:szCs w:val="32"/>
        </w:rPr>
        <w:t>第二节  提升企业创新能力</w:t>
      </w:r>
      <w:r>
        <w:tab/>
      </w:r>
      <w:r>
        <w:fldChar w:fldCharType="begin"/>
      </w:r>
      <w:r>
        <w:instrText xml:space="preserve"> PAGEREF _Toc727 </w:instrText>
      </w:r>
      <w:r>
        <w:fldChar w:fldCharType="separate"/>
      </w:r>
      <w:r>
        <w:t>24</w:t>
      </w:r>
      <w:r>
        <w:fldChar w:fldCharType="end"/>
      </w:r>
      <w:r>
        <w:rPr>
          <w:rFonts w:ascii="Times New Roman" w:hAnsi="Times New Roman" w:eastAsia="宋体" w:cs="Times New Roman"/>
        </w:rPr>
        <w:fldChar w:fldCharType="end"/>
      </w:r>
    </w:p>
    <w:p>
      <w:pPr>
        <w:pStyle w:val="8"/>
        <w:tabs>
          <w:tab w:val="right" w:leader="dot" w:pos="8844"/>
        </w:tabs>
        <w:spacing w:line="560" w:lineRule="exact"/>
        <w:ind w:left="480"/>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_Toc3938 </w:instrText>
      </w:r>
      <w:r>
        <w:rPr>
          <w:rFonts w:ascii="Times New Roman" w:hAnsi="Times New Roman" w:eastAsia="宋体" w:cs="Times New Roman"/>
        </w:rPr>
        <w:fldChar w:fldCharType="separate"/>
      </w:r>
      <w:r>
        <w:rPr>
          <w:rFonts w:ascii="Times New Roman" w:hAnsi="Times New Roman" w:eastAsia="楷体_GB2312" w:cs="Times New Roman"/>
          <w:bCs/>
          <w:szCs w:val="32"/>
        </w:rPr>
        <w:t>第三节  激发人才创新活力</w:t>
      </w:r>
      <w:r>
        <w:tab/>
      </w:r>
      <w:r>
        <w:fldChar w:fldCharType="begin"/>
      </w:r>
      <w:r>
        <w:instrText xml:space="preserve"> PAGEREF _Toc3938 </w:instrText>
      </w:r>
      <w:r>
        <w:fldChar w:fldCharType="separate"/>
      </w:r>
      <w:r>
        <w:t>26</w:t>
      </w:r>
      <w:r>
        <w:fldChar w:fldCharType="end"/>
      </w:r>
      <w:r>
        <w:rPr>
          <w:rFonts w:ascii="Times New Roman" w:hAnsi="Times New Roman" w:eastAsia="宋体" w:cs="Times New Roman"/>
        </w:rPr>
        <w:fldChar w:fldCharType="end"/>
      </w:r>
    </w:p>
    <w:p>
      <w:pPr>
        <w:pStyle w:val="8"/>
        <w:tabs>
          <w:tab w:val="right" w:leader="dot" w:pos="8844"/>
        </w:tabs>
        <w:spacing w:line="560" w:lineRule="exact"/>
        <w:ind w:left="480"/>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_Toc2584 </w:instrText>
      </w:r>
      <w:r>
        <w:rPr>
          <w:rFonts w:ascii="Times New Roman" w:hAnsi="Times New Roman" w:eastAsia="宋体" w:cs="Times New Roman"/>
        </w:rPr>
        <w:fldChar w:fldCharType="separate"/>
      </w:r>
      <w:r>
        <w:rPr>
          <w:rFonts w:ascii="Times New Roman" w:hAnsi="Times New Roman" w:eastAsia="楷体_GB2312" w:cs="Times New Roman"/>
          <w:bCs/>
          <w:szCs w:val="32"/>
        </w:rPr>
        <w:t>第四节  持续优化营商环境</w:t>
      </w:r>
      <w:r>
        <w:tab/>
      </w:r>
      <w:r>
        <w:fldChar w:fldCharType="begin"/>
      </w:r>
      <w:r>
        <w:instrText xml:space="preserve"> PAGEREF _Toc2584 </w:instrText>
      </w:r>
      <w:r>
        <w:fldChar w:fldCharType="separate"/>
      </w:r>
      <w:r>
        <w:t>28</w:t>
      </w:r>
      <w:r>
        <w:fldChar w:fldCharType="end"/>
      </w:r>
      <w:r>
        <w:rPr>
          <w:rFonts w:ascii="Times New Roman" w:hAnsi="Times New Roman" w:eastAsia="宋体" w:cs="Times New Roman"/>
        </w:rPr>
        <w:fldChar w:fldCharType="end"/>
      </w:r>
    </w:p>
    <w:p>
      <w:pPr>
        <w:pStyle w:val="6"/>
        <w:tabs>
          <w:tab w:val="right" w:leader="dot" w:pos="8844"/>
        </w:tabs>
        <w:spacing w:line="560" w:lineRule="exact"/>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_Toc24418 </w:instrText>
      </w:r>
      <w:r>
        <w:rPr>
          <w:rFonts w:ascii="Times New Roman" w:hAnsi="Times New Roman" w:eastAsia="宋体" w:cs="Times New Roman"/>
        </w:rPr>
        <w:fldChar w:fldCharType="separate"/>
      </w:r>
      <w:r>
        <w:rPr>
          <w:rFonts w:ascii="Times New Roman" w:hAnsi="Times New Roman" w:eastAsia="黑体" w:cs="Times New Roman"/>
          <w:kern w:val="32"/>
          <w:szCs w:val="32"/>
        </w:rPr>
        <w:t>第五章  建设“省级高新技术产业园区” 打造特钢名城西塞山</w:t>
      </w:r>
      <w:r>
        <w:tab/>
      </w:r>
      <w:r>
        <w:fldChar w:fldCharType="begin"/>
      </w:r>
      <w:r>
        <w:instrText xml:space="preserve"> PAGEREF _Toc24418 </w:instrText>
      </w:r>
      <w:r>
        <w:fldChar w:fldCharType="separate"/>
      </w:r>
      <w:r>
        <w:t>33</w:t>
      </w:r>
      <w:r>
        <w:fldChar w:fldCharType="end"/>
      </w:r>
      <w:r>
        <w:rPr>
          <w:rFonts w:ascii="Times New Roman" w:hAnsi="Times New Roman" w:eastAsia="宋体" w:cs="Times New Roman"/>
        </w:rPr>
        <w:fldChar w:fldCharType="end"/>
      </w:r>
    </w:p>
    <w:p>
      <w:pPr>
        <w:pStyle w:val="8"/>
        <w:tabs>
          <w:tab w:val="right" w:leader="dot" w:pos="8844"/>
        </w:tabs>
        <w:spacing w:line="560" w:lineRule="exact"/>
        <w:ind w:left="480"/>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_Toc23537 </w:instrText>
      </w:r>
      <w:r>
        <w:rPr>
          <w:rFonts w:ascii="Times New Roman" w:hAnsi="Times New Roman" w:eastAsia="宋体" w:cs="Times New Roman"/>
        </w:rPr>
        <w:fldChar w:fldCharType="separate"/>
      </w:r>
      <w:r>
        <w:rPr>
          <w:rFonts w:ascii="Times New Roman" w:hAnsi="Times New Roman" w:eastAsia="楷体_GB2312" w:cs="Times New Roman"/>
          <w:bCs/>
          <w:szCs w:val="32"/>
        </w:rPr>
        <w:t>第一节  全力构建特钢产业生态系统</w:t>
      </w:r>
      <w:r>
        <w:tab/>
      </w:r>
      <w:r>
        <w:fldChar w:fldCharType="begin"/>
      </w:r>
      <w:r>
        <w:instrText xml:space="preserve"> PAGEREF _Toc23537 </w:instrText>
      </w:r>
      <w:r>
        <w:fldChar w:fldCharType="separate"/>
      </w:r>
      <w:r>
        <w:t>33</w:t>
      </w:r>
      <w:r>
        <w:fldChar w:fldCharType="end"/>
      </w:r>
      <w:r>
        <w:rPr>
          <w:rFonts w:ascii="Times New Roman" w:hAnsi="Times New Roman" w:eastAsia="宋体" w:cs="Times New Roman"/>
        </w:rPr>
        <w:fldChar w:fldCharType="end"/>
      </w:r>
    </w:p>
    <w:p>
      <w:pPr>
        <w:pStyle w:val="8"/>
        <w:tabs>
          <w:tab w:val="right" w:leader="dot" w:pos="8844"/>
        </w:tabs>
        <w:spacing w:line="560" w:lineRule="exact"/>
        <w:ind w:left="480"/>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_Toc19180 </w:instrText>
      </w:r>
      <w:r>
        <w:rPr>
          <w:rFonts w:ascii="Times New Roman" w:hAnsi="Times New Roman" w:eastAsia="宋体" w:cs="Times New Roman"/>
        </w:rPr>
        <w:fldChar w:fldCharType="separate"/>
      </w:r>
      <w:r>
        <w:rPr>
          <w:rFonts w:ascii="Times New Roman" w:hAnsi="Times New Roman" w:eastAsia="楷体_GB2312" w:cs="Times New Roman"/>
          <w:bCs/>
          <w:szCs w:val="32"/>
        </w:rPr>
        <w:t>第二节  加快发展智能装备产业</w:t>
      </w:r>
      <w:r>
        <w:tab/>
      </w:r>
      <w:r>
        <w:fldChar w:fldCharType="begin"/>
      </w:r>
      <w:r>
        <w:instrText xml:space="preserve"> PAGEREF _Toc19180 </w:instrText>
      </w:r>
      <w:r>
        <w:fldChar w:fldCharType="separate"/>
      </w:r>
      <w:r>
        <w:t>36</w:t>
      </w:r>
      <w:r>
        <w:fldChar w:fldCharType="end"/>
      </w:r>
      <w:r>
        <w:rPr>
          <w:rFonts w:ascii="Times New Roman" w:hAnsi="Times New Roman" w:eastAsia="宋体" w:cs="Times New Roman"/>
        </w:rPr>
        <w:fldChar w:fldCharType="end"/>
      </w:r>
    </w:p>
    <w:p>
      <w:pPr>
        <w:pStyle w:val="8"/>
        <w:tabs>
          <w:tab w:val="right" w:leader="dot" w:pos="8844"/>
        </w:tabs>
        <w:spacing w:line="560" w:lineRule="exact"/>
        <w:ind w:left="480"/>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_Toc566 </w:instrText>
      </w:r>
      <w:r>
        <w:rPr>
          <w:rFonts w:ascii="Times New Roman" w:hAnsi="Times New Roman" w:eastAsia="宋体" w:cs="Times New Roman"/>
        </w:rPr>
        <w:fldChar w:fldCharType="separate"/>
      </w:r>
      <w:r>
        <w:rPr>
          <w:rFonts w:ascii="Times New Roman" w:hAnsi="Times New Roman" w:eastAsia="楷体_GB2312" w:cs="Times New Roman"/>
          <w:bCs/>
          <w:szCs w:val="32"/>
        </w:rPr>
        <w:t>第三节  做精做强生物医药产业</w:t>
      </w:r>
      <w:r>
        <w:tab/>
      </w:r>
      <w:r>
        <w:fldChar w:fldCharType="begin"/>
      </w:r>
      <w:r>
        <w:instrText xml:space="preserve"> PAGEREF _Toc566 </w:instrText>
      </w:r>
      <w:r>
        <w:fldChar w:fldCharType="separate"/>
      </w:r>
      <w:r>
        <w:t>38</w:t>
      </w:r>
      <w:r>
        <w:fldChar w:fldCharType="end"/>
      </w:r>
      <w:r>
        <w:rPr>
          <w:rFonts w:ascii="Times New Roman" w:hAnsi="Times New Roman" w:eastAsia="宋体" w:cs="Times New Roman"/>
        </w:rPr>
        <w:fldChar w:fldCharType="end"/>
      </w:r>
    </w:p>
    <w:p>
      <w:pPr>
        <w:pStyle w:val="8"/>
        <w:tabs>
          <w:tab w:val="right" w:leader="dot" w:pos="8844"/>
        </w:tabs>
        <w:spacing w:line="560" w:lineRule="exact"/>
        <w:ind w:left="480"/>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_Toc30998 </w:instrText>
      </w:r>
      <w:r>
        <w:rPr>
          <w:rFonts w:ascii="Times New Roman" w:hAnsi="Times New Roman" w:eastAsia="宋体" w:cs="Times New Roman"/>
        </w:rPr>
        <w:fldChar w:fldCharType="separate"/>
      </w:r>
      <w:r>
        <w:rPr>
          <w:rFonts w:ascii="Times New Roman" w:hAnsi="Times New Roman" w:eastAsia="楷体_GB2312" w:cs="Times New Roman"/>
          <w:bCs/>
          <w:szCs w:val="32"/>
        </w:rPr>
        <w:t>第四节  积极推动省级示范平台建设</w:t>
      </w:r>
      <w:r>
        <w:tab/>
      </w:r>
      <w:r>
        <w:fldChar w:fldCharType="begin"/>
      </w:r>
      <w:r>
        <w:instrText xml:space="preserve"> PAGEREF _Toc30998 </w:instrText>
      </w:r>
      <w:r>
        <w:fldChar w:fldCharType="separate"/>
      </w:r>
      <w:r>
        <w:t>40</w:t>
      </w:r>
      <w:r>
        <w:fldChar w:fldCharType="end"/>
      </w:r>
      <w:r>
        <w:rPr>
          <w:rFonts w:ascii="Times New Roman" w:hAnsi="Times New Roman" w:eastAsia="宋体" w:cs="Times New Roman"/>
        </w:rPr>
        <w:fldChar w:fldCharType="end"/>
      </w:r>
    </w:p>
    <w:p>
      <w:pPr>
        <w:pStyle w:val="6"/>
        <w:tabs>
          <w:tab w:val="right" w:leader="dot" w:pos="8844"/>
        </w:tabs>
        <w:spacing w:line="560" w:lineRule="exact"/>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_Toc495 </w:instrText>
      </w:r>
      <w:r>
        <w:rPr>
          <w:rFonts w:ascii="Times New Roman" w:hAnsi="Times New Roman" w:eastAsia="宋体" w:cs="Times New Roman"/>
        </w:rPr>
        <w:fldChar w:fldCharType="separate"/>
      </w:r>
      <w:r>
        <w:rPr>
          <w:rFonts w:ascii="Times New Roman" w:hAnsi="Times New Roman" w:eastAsia="黑体" w:cs="Times New Roman"/>
          <w:kern w:val="32"/>
          <w:szCs w:val="32"/>
        </w:rPr>
        <w:t>第六章  建设“黄石临港产业园区” 打造临港总部西塞山</w:t>
      </w:r>
      <w:r>
        <w:tab/>
      </w:r>
      <w:r>
        <w:fldChar w:fldCharType="begin"/>
      </w:r>
      <w:r>
        <w:instrText xml:space="preserve"> PAGEREF _Toc495 </w:instrText>
      </w:r>
      <w:r>
        <w:fldChar w:fldCharType="separate"/>
      </w:r>
      <w:r>
        <w:t>42</w:t>
      </w:r>
      <w:r>
        <w:fldChar w:fldCharType="end"/>
      </w:r>
      <w:r>
        <w:rPr>
          <w:rFonts w:ascii="Times New Roman" w:hAnsi="Times New Roman" w:eastAsia="宋体" w:cs="Times New Roman"/>
        </w:rPr>
        <w:fldChar w:fldCharType="end"/>
      </w:r>
    </w:p>
    <w:p>
      <w:pPr>
        <w:pStyle w:val="8"/>
        <w:tabs>
          <w:tab w:val="right" w:leader="dot" w:pos="8844"/>
        </w:tabs>
        <w:spacing w:line="560" w:lineRule="exact"/>
        <w:ind w:left="480"/>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_Toc5097 </w:instrText>
      </w:r>
      <w:r>
        <w:rPr>
          <w:rFonts w:ascii="Times New Roman" w:hAnsi="Times New Roman" w:eastAsia="宋体" w:cs="Times New Roman"/>
        </w:rPr>
        <w:fldChar w:fldCharType="separate"/>
      </w:r>
      <w:r>
        <w:rPr>
          <w:rFonts w:ascii="Times New Roman" w:hAnsi="Times New Roman" w:eastAsia="楷体_GB2312" w:cs="Times New Roman"/>
          <w:bCs/>
          <w:szCs w:val="32"/>
        </w:rPr>
        <w:t>第一节  加快临港产业园基础设施建设</w:t>
      </w:r>
      <w:r>
        <w:tab/>
      </w:r>
      <w:r>
        <w:fldChar w:fldCharType="begin"/>
      </w:r>
      <w:r>
        <w:instrText xml:space="preserve"> PAGEREF _Toc5097 </w:instrText>
      </w:r>
      <w:r>
        <w:fldChar w:fldCharType="separate"/>
      </w:r>
      <w:r>
        <w:t>42</w:t>
      </w:r>
      <w:r>
        <w:fldChar w:fldCharType="end"/>
      </w:r>
      <w:r>
        <w:rPr>
          <w:rFonts w:ascii="Times New Roman" w:hAnsi="Times New Roman" w:eastAsia="宋体" w:cs="Times New Roman"/>
        </w:rPr>
        <w:fldChar w:fldCharType="end"/>
      </w:r>
    </w:p>
    <w:p>
      <w:pPr>
        <w:pStyle w:val="8"/>
        <w:tabs>
          <w:tab w:val="right" w:leader="dot" w:pos="8844"/>
        </w:tabs>
        <w:spacing w:line="560" w:lineRule="exact"/>
        <w:ind w:left="480"/>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_Toc14743 </w:instrText>
      </w:r>
      <w:r>
        <w:rPr>
          <w:rFonts w:ascii="Times New Roman" w:hAnsi="Times New Roman" w:eastAsia="宋体" w:cs="Times New Roman"/>
        </w:rPr>
        <w:fldChar w:fldCharType="separate"/>
      </w:r>
      <w:r>
        <w:rPr>
          <w:rFonts w:ascii="Times New Roman" w:hAnsi="Times New Roman" w:eastAsia="楷体_GB2312" w:cs="Times New Roman"/>
          <w:bCs/>
          <w:szCs w:val="32"/>
        </w:rPr>
        <w:t>第二节  突出临港总部中心功能</w:t>
      </w:r>
      <w:r>
        <w:tab/>
      </w:r>
      <w:r>
        <w:fldChar w:fldCharType="begin"/>
      </w:r>
      <w:r>
        <w:instrText xml:space="preserve"> PAGEREF _Toc14743 </w:instrText>
      </w:r>
      <w:r>
        <w:fldChar w:fldCharType="separate"/>
      </w:r>
      <w:r>
        <w:t>42</w:t>
      </w:r>
      <w:r>
        <w:fldChar w:fldCharType="end"/>
      </w:r>
      <w:r>
        <w:rPr>
          <w:rFonts w:ascii="Times New Roman" w:hAnsi="Times New Roman" w:eastAsia="宋体" w:cs="Times New Roman"/>
        </w:rPr>
        <w:fldChar w:fldCharType="end"/>
      </w:r>
    </w:p>
    <w:p>
      <w:pPr>
        <w:pStyle w:val="8"/>
        <w:tabs>
          <w:tab w:val="right" w:leader="dot" w:pos="8844"/>
        </w:tabs>
        <w:spacing w:line="560" w:lineRule="exact"/>
        <w:ind w:left="480"/>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_Toc21032 </w:instrText>
      </w:r>
      <w:r>
        <w:rPr>
          <w:rFonts w:ascii="Times New Roman" w:hAnsi="Times New Roman" w:eastAsia="宋体" w:cs="Times New Roman"/>
        </w:rPr>
        <w:fldChar w:fldCharType="separate"/>
      </w:r>
      <w:r>
        <w:rPr>
          <w:rFonts w:ascii="Times New Roman" w:hAnsi="Times New Roman" w:eastAsia="楷体_GB2312" w:cs="Times New Roman"/>
          <w:bCs/>
          <w:szCs w:val="32"/>
        </w:rPr>
        <w:t>第三节  突破性发展现代服务业</w:t>
      </w:r>
      <w:r>
        <w:tab/>
      </w:r>
      <w:r>
        <w:fldChar w:fldCharType="begin"/>
      </w:r>
      <w:r>
        <w:instrText xml:space="preserve"> PAGEREF _Toc21032 </w:instrText>
      </w:r>
      <w:r>
        <w:fldChar w:fldCharType="separate"/>
      </w:r>
      <w:r>
        <w:t>46</w:t>
      </w:r>
      <w:r>
        <w:fldChar w:fldCharType="end"/>
      </w:r>
      <w:r>
        <w:rPr>
          <w:rFonts w:ascii="Times New Roman" w:hAnsi="Times New Roman" w:eastAsia="宋体" w:cs="Times New Roman"/>
        </w:rPr>
        <w:fldChar w:fldCharType="end"/>
      </w:r>
    </w:p>
    <w:p>
      <w:pPr>
        <w:pStyle w:val="6"/>
        <w:tabs>
          <w:tab w:val="right" w:leader="dot" w:pos="8844"/>
        </w:tabs>
        <w:spacing w:line="560" w:lineRule="exact"/>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_Toc22100 </w:instrText>
      </w:r>
      <w:r>
        <w:rPr>
          <w:rFonts w:ascii="Times New Roman" w:hAnsi="Times New Roman" w:eastAsia="宋体" w:cs="Times New Roman"/>
        </w:rPr>
        <w:fldChar w:fldCharType="separate"/>
      </w:r>
      <w:r>
        <w:rPr>
          <w:rFonts w:ascii="Times New Roman" w:hAnsi="Times New Roman" w:eastAsia="黑体" w:cs="Times New Roman"/>
          <w:kern w:val="32"/>
          <w:szCs w:val="32"/>
        </w:rPr>
        <w:t>第七章  建设“全国老旧小区改造示范区” 打造“金湾秀带”西塞山</w:t>
      </w:r>
      <w:r>
        <w:tab/>
      </w:r>
      <w:r>
        <w:fldChar w:fldCharType="begin"/>
      </w:r>
      <w:r>
        <w:instrText xml:space="preserve"> PAGEREF _Toc22100 </w:instrText>
      </w:r>
      <w:r>
        <w:fldChar w:fldCharType="separate"/>
      </w:r>
      <w:r>
        <w:t>50</w:t>
      </w:r>
      <w:r>
        <w:fldChar w:fldCharType="end"/>
      </w:r>
      <w:r>
        <w:rPr>
          <w:rFonts w:ascii="Times New Roman" w:hAnsi="Times New Roman" w:eastAsia="宋体" w:cs="Times New Roman"/>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560" w:lineRule="exact"/>
        <w:ind w:left="480" w:leftChars="0"/>
        <w:textAlignment w:val="auto"/>
        <w:rPr>
          <w:rFonts w:hint="eastAsia" w:ascii="楷体" w:hAnsi="楷体" w:eastAsia="楷体" w:cs="楷体"/>
          <w:sz w:val="21"/>
          <w:szCs w:val="21"/>
        </w:rPr>
      </w:pP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HYPERLINK \l _Toc24611 </w:instrText>
      </w:r>
      <w:r>
        <w:rPr>
          <w:rFonts w:hint="eastAsia" w:ascii="楷体" w:hAnsi="楷体" w:eastAsia="楷体" w:cs="楷体"/>
          <w:sz w:val="21"/>
          <w:szCs w:val="21"/>
        </w:rPr>
        <w:fldChar w:fldCharType="separate"/>
      </w:r>
      <w:r>
        <w:rPr>
          <w:rFonts w:hint="eastAsia" w:ascii="楷体" w:hAnsi="楷体" w:eastAsia="楷体" w:cs="楷体"/>
          <w:bCs/>
          <w:sz w:val="21"/>
          <w:szCs w:val="21"/>
        </w:rPr>
        <w:t>第一节  提升城市品质和管理水平</w:t>
      </w:r>
      <w:r>
        <w:rPr>
          <w:rFonts w:hint="eastAsia" w:ascii="楷体" w:hAnsi="楷体" w:eastAsia="楷体" w:cs="楷体"/>
          <w:sz w:val="21"/>
          <w:szCs w:val="21"/>
        </w:rPr>
        <w:tab/>
      </w: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PAGEREF _Toc24611 </w:instrText>
      </w:r>
      <w:r>
        <w:rPr>
          <w:rFonts w:hint="eastAsia" w:ascii="楷体" w:hAnsi="楷体" w:eastAsia="楷体" w:cs="楷体"/>
          <w:sz w:val="21"/>
          <w:szCs w:val="21"/>
        </w:rPr>
        <w:fldChar w:fldCharType="separate"/>
      </w:r>
      <w:r>
        <w:rPr>
          <w:rFonts w:hint="eastAsia" w:ascii="楷体" w:hAnsi="楷体" w:eastAsia="楷体" w:cs="楷体"/>
          <w:sz w:val="21"/>
          <w:szCs w:val="21"/>
        </w:rPr>
        <w:t>50</w:t>
      </w:r>
      <w:r>
        <w:rPr>
          <w:rFonts w:hint="eastAsia" w:ascii="楷体" w:hAnsi="楷体" w:eastAsia="楷体" w:cs="楷体"/>
          <w:sz w:val="21"/>
          <w:szCs w:val="21"/>
        </w:rPr>
        <w:fldChar w:fldCharType="end"/>
      </w:r>
      <w:r>
        <w:rPr>
          <w:rFonts w:hint="eastAsia" w:ascii="楷体" w:hAnsi="楷体" w:eastAsia="楷体" w:cs="楷体"/>
          <w:sz w:val="21"/>
          <w:szCs w:val="21"/>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560" w:lineRule="exact"/>
        <w:ind w:left="480" w:leftChars="0"/>
        <w:textAlignment w:val="auto"/>
        <w:rPr>
          <w:rFonts w:hint="eastAsia" w:ascii="楷体" w:hAnsi="楷体" w:eastAsia="楷体" w:cs="楷体"/>
          <w:sz w:val="21"/>
          <w:szCs w:val="21"/>
        </w:rPr>
      </w:pP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HYPERLINK \l _Toc16369 </w:instrText>
      </w:r>
      <w:r>
        <w:rPr>
          <w:rFonts w:hint="eastAsia" w:ascii="楷体" w:hAnsi="楷体" w:eastAsia="楷体" w:cs="楷体"/>
          <w:sz w:val="21"/>
          <w:szCs w:val="21"/>
        </w:rPr>
        <w:fldChar w:fldCharType="separate"/>
      </w:r>
      <w:r>
        <w:rPr>
          <w:rFonts w:hint="eastAsia" w:ascii="楷体" w:hAnsi="楷体" w:eastAsia="楷体" w:cs="楷体"/>
          <w:bCs/>
          <w:sz w:val="21"/>
          <w:szCs w:val="21"/>
        </w:rPr>
        <w:t>第二节  完善城乡基础设施</w:t>
      </w:r>
      <w:r>
        <w:rPr>
          <w:rFonts w:hint="eastAsia" w:ascii="楷体" w:hAnsi="楷体" w:eastAsia="楷体" w:cs="楷体"/>
          <w:sz w:val="21"/>
          <w:szCs w:val="21"/>
        </w:rPr>
        <w:tab/>
      </w: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PAGEREF _Toc16369 </w:instrText>
      </w:r>
      <w:r>
        <w:rPr>
          <w:rFonts w:hint="eastAsia" w:ascii="楷体" w:hAnsi="楷体" w:eastAsia="楷体" w:cs="楷体"/>
          <w:sz w:val="21"/>
          <w:szCs w:val="21"/>
        </w:rPr>
        <w:fldChar w:fldCharType="separate"/>
      </w:r>
      <w:r>
        <w:rPr>
          <w:rFonts w:hint="eastAsia" w:ascii="楷体" w:hAnsi="楷体" w:eastAsia="楷体" w:cs="楷体"/>
          <w:sz w:val="21"/>
          <w:szCs w:val="21"/>
        </w:rPr>
        <w:t>52</w:t>
      </w:r>
      <w:r>
        <w:rPr>
          <w:rFonts w:hint="eastAsia" w:ascii="楷体" w:hAnsi="楷体" w:eastAsia="楷体" w:cs="楷体"/>
          <w:sz w:val="21"/>
          <w:szCs w:val="21"/>
        </w:rPr>
        <w:fldChar w:fldCharType="end"/>
      </w:r>
      <w:r>
        <w:rPr>
          <w:rFonts w:hint="eastAsia" w:ascii="楷体" w:hAnsi="楷体" w:eastAsia="楷体" w:cs="楷体"/>
          <w:sz w:val="21"/>
          <w:szCs w:val="21"/>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leftChars="0"/>
        <w:textAlignment w:val="auto"/>
        <w:rPr>
          <w:rFonts w:hint="default" w:ascii="楷体" w:hAnsi="楷体" w:eastAsia="楷体" w:cs="楷体"/>
          <w:sz w:val="21"/>
          <w:szCs w:val="21"/>
          <w:u w:val="dotted"/>
          <w:lang w:val="en-US" w:eastAsia="zh-CN"/>
        </w:rPr>
      </w:pPr>
      <w:r>
        <w:rPr>
          <w:rFonts w:hint="eastAsia" w:ascii="楷体" w:hAnsi="楷体" w:eastAsia="楷体" w:cs="楷体"/>
          <w:sz w:val="21"/>
          <w:szCs w:val="21"/>
          <w:lang w:val="en-US" w:eastAsia="zh-CN"/>
        </w:rPr>
        <w:t xml:space="preserve">     第三节  推动智慧城区建设</w:t>
      </w:r>
      <w:r>
        <w:rPr>
          <w:rFonts w:hint="eastAsia" w:ascii="楷体" w:hAnsi="楷体" w:eastAsia="楷体" w:cs="楷体"/>
          <w:sz w:val="21"/>
          <w:szCs w:val="21"/>
          <w:u w:val="dotted"/>
          <w:lang w:val="en-US" w:eastAsia="zh-CN"/>
        </w:rPr>
        <w:t xml:space="preserve">                                                     </w:t>
      </w:r>
      <w:r>
        <w:rPr>
          <w:rFonts w:hint="eastAsia" w:ascii="楷体" w:hAnsi="楷体" w:eastAsia="楷体" w:cs="楷体"/>
          <w:sz w:val="21"/>
          <w:szCs w:val="21"/>
          <w:u w:val="none"/>
          <w:lang w:val="en-US" w:eastAsia="zh-CN"/>
        </w:rPr>
        <w:t>56</w:t>
      </w:r>
    </w:p>
    <w:p>
      <w:pPr>
        <w:pStyle w:val="6"/>
        <w:tabs>
          <w:tab w:val="right" w:leader="dot" w:pos="8844"/>
        </w:tabs>
        <w:spacing w:line="560" w:lineRule="exact"/>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_Toc10315 </w:instrText>
      </w:r>
      <w:r>
        <w:rPr>
          <w:rFonts w:ascii="Times New Roman" w:hAnsi="Times New Roman" w:eastAsia="宋体" w:cs="Times New Roman"/>
        </w:rPr>
        <w:fldChar w:fldCharType="separate"/>
      </w:r>
      <w:r>
        <w:rPr>
          <w:rFonts w:ascii="Times New Roman" w:hAnsi="Times New Roman" w:eastAsia="黑体" w:cs="Times New Roman"/>
          <w:kern w:val="32"/>
          <w:szCs w:val="32"/>
        </w:rPr>
        <w:t>第八章  建设“磁湖·黄荆山文旅新区” 打造全域文旅西塞山</w:t>
      </w:r>
      <w:r>
        <w:tab/>
      </w:r>
      <w:r>
        <w:fldChar w:fldCharType="begin"/>
      </w:r>
      <w:r>
        <w:instrText xml:space="preserve"> PAGEREF _Toc10315 </w:instrText>
      </w:r>
      <w:r>
        <w:fldChar w:fldCharType="separate"/>
      </w:r>
      <w:r>
        <w:t>59</w:t>
      </w:r>
      <w:r>
        <w:fldChar w:fldCharType="end"/>
      </w:r>
      <w:r>
        <w:rPr>
          <w:rFonts w:ascii="Times New Roman" w:hAnsi="Times New Roman" w:eastAsia="宋体" w:cs="Times New Roman"/>
        </w:rPr>
        <w:fldChar w:fldCharType="end"/>
      </w:r>
    </w:p>
    <w:p>
      <w:pPr>
        <w:pStyle w:val="8"/>
        <w:tabs>
          <w:tab w:val="right" w:leader="dot" w:pos="8844"/>
        </w:tabs>
        <w:spacing w:line="560" w:lineRule="exact"/>
        <w:ind w:left="480"/>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_Toc6557 </w:instrText>
      </w:r>
      <w:r>
        <w:rPr>
          <w:rFonts w:ascii="Times New Roman" w:hAnsi="Times New Roman" w:eastAsia="宋体" w:cs="Times New Roman"/>
        </w:rPr>
        <w:fldChar w:fldCharType="separate"/>
      </w:r>
      <w:r>
        <w:rPr>
          <w:rFonts w:ascii="Times New Roman" w:hAnsi="Times New Roman" w:eastAsia="楷体_GB2312" w:cs="Times New Roman"/>
          <w:bCs/>
          <w:szCs w:val="32"/>
        </w:rPr>
        <w:t>第一节  打造城市中央生态公园</w:t>
      </w:r>
      <w:r>
        <w:tab/>
      </w:r>
      <w:r>
        <w:fldChar w:fldCharType="begin"/>
      </w:r>
      <w:r>
        <w:instrText xml:space="preserve"> PAGEREF _Toc6557 </w:instrText>
      </w:r>
      <w:r>
        <w:fldChar w:fldCharType="separate"/>
      </w:r>
      <w:r>
        <w:t>59</w:t>
      </w:r>
      <w:r>
        <w:fldChar w:fldCharType="end"/>
      </w:r>
      <w:r>
        <w:rPr>
          <w:rFonts w:ascii="Times New Roman" w:hAnsi="Times New Roman" w:eastAsia="宋体" w:cs="Times New Roman"/>
        </w:rPr>
        <w:fldChar w:fldCharType="end"/>
      </w:r>
    </w:p>
    <w:p>
      <w:pPr>
        <w:pStyle w:val="8"/>
        <w:tabs>
          <w:tab w:val="right" w:leader="dot" w:pos="8844"/>
        </w:tabs>
        <w:spacing w:line="560" w:lineRule="exact"/>
        <w:ind w:left="480"/>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_Toc16755 </w:instrText>
      </w:r>
      <w:r>
        <w:rPr>
          <w:rFonts w:ascii="Times New Roman" w:hAnsi="Times New Roman" w:eastAsia="宋体" w:cs="Times New Roman"/>
        </w:rPr>
        <w:fldChar w:fldCharType="separate"/>
      </w:r>
      <w:r>
        <w:rPr>
          <w:rFonts w:ascii="Times New Roman" w:hAnsi="Times New Roman" w:eastAsia="楷体_GB2312" w:cs="Times New Roman"/>
          <w:bCs/>
          <w:szCs w:val="32"/>
        </w:rPr>
        <w:t>第二节  保护弘扬城市文脉</w:t>
      </w:r>
      <w:r>
        <w:tab/>
      </w:r>
      <w:r>
        <w:fldChar w:fldCharType="begin"/>
      </w:r>
      <w:r>
        <w:instrText xml:space="preserve"> PAGEREF _Toc16755 </w:instrText>
      </w:r>
      <w:r>
        <w:fldChar w:fldCharType="separate"/>
      </w:r>
      <w:r>
        <w:t>60</w:t>
      </w:r>
      <w:r>
        <w:fldChar w:fldCharType="end"/>
      </w:r>
      <w:r>
        <w:rPr>
          <w:rFonts w:ascii="Times New Roman" w:hAnsi="Times New Roman" w:eastAsia="宋体" w:cs="Times New Roman"/>
        </w:rPr>
        <w:fldChar w:fldCharType="end"/>
      </w:r>
    </w:p>
    <w:p>
      <w:pPr>
        <w:pStyle w:val="8"/>
        <w:tabs>
          <w:tab w:val="right" w:leader="dot" w:pos="8844"/>
        </w:tabs>
        <w:spacing w:line="560" w:lineRule="exact"/>
        <w:ind w:left="480"/>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_Toc9667 </w:instrText>
      </w:r>
      <w:r>
        <w:rPr>
          <w:rFonts w:ascii="Times New Roman" w:hAnsi="Times New Roman" w:eastAsia="宋体" w:cs="Times New Roman"/>
        </w:rPr>
        <w:fldChar w:fldCharType="separate"/>
      </w:r>
      <w:r>
        <w:rPr>
          <w:rFonts w:ascii="Times New Roman" w:hAnsi="Times New Roman" w:eastAsia="楷体_GB2312" w:cs="Times New Roman"/>
          <w:bCs/>
          <w:szCs w:val="32"/>
        </w:rPr>
        <w:t>第三节  大力发展全域旅游</w:t>
      </w:r>
      <w:r>
        <w:tab/>
      </w:r>
      <w:r>
        <w:fldChar w:fldCharType="begin"/>
      </w:r>
      <w:r>
        <w:instrText xml:space="preserve"> PAGEREF _Toc9667 </w:instrText>
      </w:r>
      <w:r>
        <w:fldChar w:fldCharType="separate"/>
      </w:r>
      <w:r>
        <w:t>61</w:t>
      </w:r>
      <w:r>
        <w:fldChar w:fldCharType="end"/>
      </w:r>
      <w:r>
        <w:rPr>
          <w:rFonts w:ascii="Times New Roman" w:hAnsi="Times New Roman" w:eastAsia="宋体" w:cs="Times New Roman"/>
        </w:rPr>
        <w:fldChar w:fldCharType="end"/>
      </w:r>
    </w:p>
    <w:p>
      <w:pPr>
        <w:pStyle w:val="6"/>
        <w:tabs>
          <w:tab w:val="right" w:leader="dot" w:pos="8844"/>
        </w:tabs>
        <w:spacing w:line="560" w:lineRule="exact"/>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_Toc14284 </w:instrText>
      </w:r>
      <w:r>
        <w:rPr>
          <w:rFonts w:ascii="Times New Roman" w:hAnsi="Times New Roman" w:eastAsia="宋体" w:cs="Times New Roman"/>
        </w:rPr>
        <w:fldChar w:fldCharType="separate"/>
      </w:r>
      <w:r>
        <w:rPr>
          <w:rFonts w:ascii="Times New Roman" w:hAnsi="Times New Roman" w:eastAsia="黑体" w:cs="Times New Roman"/>
          <w:kern w:val="32"/>
          <w:szCs w:val="32"/>
        </w:rPr>
        <w:t>第九章  全面推进乡村振兴 实现农业农村新跨越</w:t>
      </w:r>
      <w:r>
        <w:tab/>
      </w:r>
      <w:r>
        <w:fldChar w:fldCharType="begin"/>
      </w:r>
      <w:r>
        <w:instrText xml:space="preserve"> PAGEREF _Toc14284 </w:instrText>
      </w:r>
      <w:r>
        <w:fldChar w:fldCharType="separate"/>
      </w:r>
      <w:r>
        <w:t>63</w:t>
      </w:r>
      <w:r>
        <w:fldChar w:fldCharType="end"/>
      </w:r>
      <w:r>
        <w:rPr>
          <w:rFonts w:ascii="Times New Roman" w:hAnsi="Times New Roman" w:eastAsia="宋体" w:cs="Times New Roman"/>
        </w:rPr>
        <w:fldChar w:fldCharType="end"/>
      </w:r>
    </w:p>
    <w:p>
      <w:pPr>
        <w:pStyle w:val="8"/>
        <w:tabs>
          <w:tab w:val="right" w:leader="dot" w:pos="8844"/>
        </w:tabs>
        <w:spacing w:line="560" w:lineRule="exact"/>
        <w:ind w:left="480"/>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_Toc3444 </w:instrText>
      </w:r>
      <w:r>
        <w:rPr>
          <w:rFonts w:ascii="Times New Roman" w:hAnsi="Times New Roman" w:eastAsia="宋体" w:cs="Times New Roman"/>
        </w:rPr>
        <w:fldChar w:fldCharType="separate"/>
      </w:r>
      <w:r>
        <w:rPr>
          <w:rFonts w:ascii="Times New Roman" w:hAnsi="Times New Roman" w:eastAsia="楷体_GB2312" w:cs="Times New Roman"/>
          <w:bCs/>
          <w:szCs w:val="32"/>
        </w:rPr>
        <w:t>第一节  推动现代休闲农业产业做精做特</w:t>
      </w:r>
      <w:r>
        <w:tab/>
      </w:r>
      <w:r>
        <w:fldChar w:fldCharType="begin"/>
      </w:r>
      <w:r>
        <w:instrText xml:space="preserve"> PAGEREF _Toc3444 </w:instrText>
      </w:r>
      <w:r>
        <w:fldChar w:fldCharType="separate"/>
      </w:r>
      <w:r>
        <w:t>63</w:t>
      </w:r>
      <w:r>
        <w:fldChar w:fldCharType="end"/>
      </w:r>
      <w:r>
        <w:rPr>
          <w:rFonts w:ascii="Times New Roman" w:hAnsi="Times New Roman" w:eastAsia="宋体" w:cs="Times New Roman"/>
        </w:rPr>
        <w:fldChar w:fldCharType="end"/>
      </w:r>
    </w:p>
    <w:p>
      <w:pPr>
        <w:pStyle w:val="8"/>
        <w:tabs>
          <w:tab w:val="right" w:leader="dot" w:pos="8844"/>
        </w:tabs>
        <w:spacing w:line="560" w:lineRule="exact"/>
        <w:ind w:left="480"/>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_Toc20265 </w:instrText>
      </w:r>
      <w:r>
        <w:rPr>
          <w:rFonts w:ascii="Times New Roman" w:hAnsi="Times New Roman" w:eastAsia="宋体" w:cs="Times New Roman"/>
        </w:rPr>
        <w:fldChar w:fldCharType="separate"/>
      </w:r>
      <w:r>
        <w:rPr>
          <w:rFonts w:ascii="Times New Roman" w:hAnsi="Times New Roman" w:eastAsia="楷体_GB2312" w:cs="Times New Roman"/>
          <w:bCs/>
          <w:szCs w:val="32"/>
        </w:rPr>
        <w:t>第二节  建设生态宜居美丽乡村</w:t>
      </w:r>
      <w:r>
        <w:tab/>
      </w:r>
      <w:r>
        <w:fldChar w:fldCharType="begin"/>
      </w:r>
      <w:r>
        <w:instrText xml:space="preserve"> PAGEREF _Toc20265 </w:instrText>
      </w:r>
      <w:r>
        <w:fldChar w:fldCharType="separate"/>
      </w:r>
      <w:r>
        <w:t>64</w:t>
      </w:r>
      <w:r>
        <w:fldChar w:fldCharType="end"/>
      </w:r>
      <w:r>
        <w:rPr>
          <w:rFonts w:ascii="Times New Roman" w:hAnsi="Times New Roman" w:eastAsia="宋体" w:cs="Times New Roman"/>
        </w:rPr>
        <w:fldChar w:fldCharType="end"/>
      </w:r>
    </w:p>
    <w:p>
      <w:pPr>
        <w:pStyle w:val="8"/>
        <w:tabs>
          <w:tab w:val="right" w:leader="dot" w:pos="8844"/>
        </w:tabs>
        <w:spacing w:line="560" w:lineRule="exact"/>
        <w:ind w:left="480"/>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_Toc20529 </w:instrText>
      </w:r>
      <w:r>
        <w:rPr>
          <w:rFonts w:ascii="Times New Roman" w:hAnsi="Times New Roman" w:eastAsia="宋体" w:cs="Times New Roman"/>
        </w:rPr>
        <w:fldChar w:fldCharType="separate"/>
      </w:r>
      <w:r>
        <w:rPr>
          <w:rFonts w:ascii="Times New Roman" w:hAnsi="Times New Roman" w:eastAsia="楷体_GB2312" w:cs="Times New Roman"/>
          <w:bCs/>
          <w:szCs w:val="32"/>
        </w:rPr>
        <w:t>第三节  持续增强农村发展活力</w:t>
      </w:r>
      <w:r>
        <w:tab/>
      </w:r>
      <w:r>
        <w:fldChar w:fldCharType="begin"/>
      </w:r>
      <w:r>
        <w:instrText xml:space="preserve"> PAGEREF _Toc20529 </w:instrText>
      </w:r>
      <w:r>
        <w:fldChar w:fldCharType="separate"/>
      </w:r>
      <w:r>
        <w:t>65</w:t>
      </w:r>
      <w:r>
        <w:fldChar w:fldCharType="end"/>
      </w:r>
      <w:r>
        <w:rPr>
          <w:rFonts w:ascii="Times New Roman" w:hAnsi="Times New Roman" w:eastAsia="宋体" w:cs="Times New Roman"/>
        </w:rPr>
        <w:fldChar w:fldCharType="end"/>
      </w:r>
    </w:p>
    <w:p>
      <w:pPr>
        <w:pStyle w:val="8"/>
        <w:tabs>
          <w:tab w:val="right" w:leader="dot" w:pos="8844"/>
        </w:tabs>
        <w:spacing w:line="560" w:lineRule="exact"/>
        <w:ind w:left="480"/>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_Toc4116 </w:instrText>
      </w:r>
      <w:r>
        <w:rPr>
          <w:rFonts w:ascii="Times New Roman" w:hAnsi="Times New Roman" w:eastAsia="宋体" w:cs="Times New Roman"/>
        </w:rPr>
        <w:fldChar w:fldCharType="separate"/>
      </w:r>
      <w:r>
        <w:rPr>
          <w:rFonts w:ascii="Times New Roman" w:hAnsi="Times New Roman" w:eastAsia="楷体_GB2312" w:cs="Times New Roman"/>
          <w:bCs/>
          <w:szCs w:val="32"/>
        </w:rPr>
        <w:t>第四节  加快城乡融合发展</w:t>
      </w:r>
      <w:r>
        <w:tab/>
      </w:r>
      <w:r>
        <w:fldChar w:fldCharType="begin"/>
      </w:r>
      <w:r>
        <w:instrText xml:space="preserve"> PAGEREF _Toc4116 </w:instrText>
      </w:r>
      <w:r>
        <w:fldChar w:fldCharType="separate"/>
      </w:r>
      <w:r>
        <w:t>66</w:t>
      </w:r>
      <w:r>
        <w:fldChar w:fldCharType="end"/>
      </w:r>
      <w:r>
        <w:rPr>
          <w:rFonts w:ascii="Times New Roman" w:hAnsi="Times New Roman" w:eastAsia="宋体" w:cs="Times New Roman"/>
        </w:rPr>
        <w:fldChar w:fldCharType="end"/>
      </w:r>
    </w:p>
    <w:p>
      <w:pPr>
        <w:pStyle w:val="6"/>
        <w:tabs>
          <w:tab w:val="right" w:leader="dot" w:pos="8844"/>
        </w:tabs>
        <w:spacing w:line="560" w:lineRule="exact"/>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_Toc1830 </w:instrText>
      </w:r>
      <w:r>
        <w:rPr>
          <w:rFonts w:ascii="Times New Roman" w:hAnsi="Times New Roman" w:eastAsia="宋体" w:cs="Times New Roman"/>
        </w:rPr>
        <w:fldChar w:fldCharType="separate"/>
      </w:r>
      <w:r>
        <w:rPr>
          <w:rFonts w:ascii="Times New Roman" w:hAnsi="Times New Roman" w:eastAsia="黑体" w:cs="Times New Roman"/>
          <w:kern w:val="32"/>
          <w:szCs w:val="32"/>
        </w:rPr>
        <w:t>第十章  坚持以长江大保护为引领 扎实推进绿色发展</w:t>
      </w:r>
      <w:r>
        <w:tab/>
      </w:r>
      <w:r>
        <w:fldChar w:fldCharType="begin"/>
      </w:r>
      <w:r>
        <w:instrText xml:space="preserve"> PAGEREF _Toc1830 </w:instrText>
      </w:r>
      <w:r>
        <w:fldChar w:fldCharType="separate"/>
      </w:r>
      <w:r>
        <w:t>67</w:t>
      </w:r>
      <w:r>
        <w:fldChar w:fldCharType="end"/>
      </w:r>
      <w:r>
        <w:rPr>
          <w:rFonts w:ascii="Times New Roman" w:hAnsi="Times New Roman" w:eastAsia="宋体" w:cs="Times New Roman"/>
        </w:rPr>
        <w:fldChar w:fldCharType="end"/>
      </w:r>
    </w:p>
    <w:p>
      <w:pPr>
        <w:pStyle w:val="8"/>
        <w:tabs>
          <w:tab w:val="right" w:leader="dot" w:pos="8844"/>
        </w:tabs>
        <w:spacing w:line="560" w:lineRule="exact"/>
        <w:ind w:left="480"/>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_Toc16045 </w:instrText>
      </w:r>
      <w:r>
        <w:rPr>
          <w:rFonts w:ascii="Times New Roman" w:hAnsi="Times New Roman" w:eastAsia="宋体" w:cs="Times New Roman"/>
        </w:rPr>
        <w:fldChar w:fldCharType="separate"/>
      </w:r>
      <w:r>
        <w:rPr>
          <w:rFonts w:ascii="Times New Roman" w:hAnsi="Times New Roman" w:eastAsia="楷体_GB2312" w:cs="Times New Roman"/>
          <w:bCs/>
          <w:szCs w:val="32"/>
        </w:rPr>
        <w:t>第一节  深入推进长江大保护</w:t>
      </w:r>
      <w:r>
        <w:tab/>
      </w:r>
      <w:r>
        <w:fldChar w:fldCharType="begin"/>
      </w:r>
      <w:r>
        <w:instrText xml:space="preserve"> PAGEREF _Toc16045 </w:instrText>
      </w:r>
      <w:r>
        <w:fldChar w:fldCharType="separate"/>
      </w:r>
      <w:r>
        <w:t>67</w:t>
      </w:r>
      <w:r>
        <w:fldChar w:fldCharType="end"/>
      </w:r>
      <w:r>
        <w:rPr>
          <w:rFonts w:ascii="Times New Roman" w:hAnsi="Times New Roman" w:eastAsia="宋体" w:cs="Times New Roman"/>
        </w:rPr>
        <w:fldChar w:fldCharType="end"/>
      </w:r>
    </w:p>
    <w:p>
      <w:pPr>
        <w:pStyle w:val="8"/>
        <w:tabs>
          <w:tab w:val="right" w:leader="dot" w:pos="8844"/>
        </w:tabs>
        <w:spacing w:line="560" w:lineRule="exact"/>
        <w:ind w:left="480"/>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_Toc16143 </w:instrText>
      </w:r>
      <w:r>
        <w:rPr>
          <w:rFonts w:ascii="Times New Roman" w:hAnsi="Times New Roman" w:eastAsia="宋体" w:cs="Times New Roman"/>
        </w:rPr>
        <w:fldChar w:fldCharType="separate"/>
      </w:r>
      <w:r>
        <w:rPr>
          <w:rFonts w:ascii="Times New Roman" w:hAnsi="Times New Roman" w:eastAsia="楷体_GB2312" w:cs="Times New Roman"/>
          <w:bCs/>
          <w:szCs w:val="32"/>
        </w:rPr>
        <w:t>第二节  持续改善生态环境质量</w:t>
      </w:r>
      <w:r>
        <w:tab/>
      </w:r>
      <w:r>
        <w:fldChar w:fldCharType="begin"/>
      </w:r>
      <w:r>
        <w:instrText xml:space="preserve"> PAGEREF _Toc16143 </w:instrText>
      </w:r>
      <w:r>
        <w:fldChar w:fldCharType="separate"/>
      </w:r>
      <w:r>
        <w:t>69</w:t>
      </w:r>
      <w:r>
        <w:fldChar w:fldCharType="end"/>
      </w:r>
      <w:r>
        <w:rPr>
          <w:rFonts w:ascii="Times New Roman" w:hAnsi="Times New Roman" w:eastAsia="宋体" w:cs="Times New Roman"/>
        </w:rPr>
        <w:fldChar w:fldCharType="end"/>
      </w:r>
    </w:p>
    <w:p>
      <w:pPr>
        <w:pStyle w:val="8"/>
        <w:tabs>
          <w:tab w:val="right" w:leader="dot" w:pos="8844"/>
        </w:tabs>
        <w:spacing w:line="560" w:lineRule="exact"/>
        <w:ind w:left="480"/>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_Toc4468 </w:instrText>
      </w:r>
      <w:r>
        <w:rPr>
          <w:rFonts w:ascii="Times New Roman" w:hAnsi="Times New Roman" w:eastAsia="宋体" w:cs="Times New Roman"/>
        </w:rPr>
        <w:fldChar w:fldCharType="separate"/>
      </w:r>
      <w:r>
        <w:rPr>
          <w:rFonts w:ascii="Times New Roman" w:hAnsi="Times New Roman" w:eastAsia="楷体_GB2312" w:cs="Times New Roman"/>
          <w:bCs/>
          <w:szCs w:val="32"/>
        </w:rPr>
        <w:t>第三节  大力推进绿色低碳发展</w:t>
      </w:r>
      <w:r>
        <w:tab/>
      </w:r>
      <w:r>
        <w:fldChar w:fldCharType="begin"/>
      </w:r>
      <w:r>
        <w:instrText xml:space="preserve"> PAGEREF _Toc4468 </w:instrText>
      </w:r>
      <w:r>
        <w:fldChar w:fldCharType="separate"/>
      </w:r>
      <w:r>
        <w:t>72</w:t>
      </w:r>
      <w:r>
        <w:fldChar w:fldCharType="end"/>
      </w:r>
      <w:r>
        <w:rPr>
          <w:rFonts w:ascii="Times New Roman" w:hAnsi="Times New Roman" w:eastAsia="宋体" w:cs="Times New Roman"/>
        </w:rPr>
        <w:fldChar w:fldCharType="end"/>
      </w:r>
    </w:p>
    <w:p>
      <w:pPr>
        <w:pStyle w:val="6"/>
        <w:tabs>
          <w:tab w:val="right" w:leader="dot" w:pos="8844"/>
        </w:tabs>
        <w:spacing w:line="560" w:lineRule="exact"/>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_Toc1623 </w:instrText>
      </w:r>
      <w:r>
        <w:rPr>
          <w:rFonts w:ascii="Times New Roman" w:hAnsi="Times New Roman" w:eastAsia="宋体" w:cs="Times New Roman"/>
        </w:rPr>
        <w:fldChar w:fldCharType="separate"/>
      </w:r>
      <w:r>
        <w:rPr>
          <w:rFonts w:ascii="Times New Roman" w:hAnsi="Times New Roman" w:eastAsia="黑体" w:cs="Times New Roman"/>
          <w:kern w:val="32"/>
          <w:szCs w:val="32"/>
        </w:rPr>
        <w:t>第十一章  全力做好民生保障 提升基层善治水平</w:t>
      </w:r>
      <w:r>
        <w:tab/>
      </w:r>
      <w:r>
        <w:fldChar w:fldCharType="begin"/>
      </w:r>
      <w:r>
        <w:instrText xml:space="preserve"> PAGEREF _Toc1623 </w:instrText>
      </w:r>
      <w:r>
        <w:fldChar w:fldCharType="separate"/>
      </w:r>
      <w:r>
        <w:t>76</w:t>
      </w:r>
      <w:r>
        <w:fldChar w:fldCharType="end"/>
      </w:r>
      <w:r>
        <w:rPr>
          <w:rFonts w:ascii="Times New Roman" w:hAnsi="Times New Roman" w:eastAsia="宋体" w:cs="Times New Roman"/>
        </w:rPr>
        <w:fldChar w:fldCharType="end"/>
      </w:r>
    </w:p>
    <w:p>
      <w:pPr>
        <w:pStyle w:val="8"/>
        <w:tabs>
          <w:tab w:val="right" w:leader="dot" w:pos="8844"/>
        </w:tabs>
        <w:spacing w:line="560" w:lineRule="exact"/>
        <w:ind w:left="480"/>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_Toc28519 </w:instrText>
      </w:r>
      <w:r>
        <w:rPr>
          <w:rFonts w:ascii="Times New Roman" w:hAnsi="Times New Roman" w:eastAsia="宋体" w:cs="Times New Roman"/>
        </w:rPr>
        <w:fldChar w:fldCharType="separate"/>
      </w:r>
      <w:r>
        <w:rPr>
          <w:rFonts w:ascii="Times New Roman" w:hAnsi="Times New Roman" w:eastAsia="楷体_GB2312" w:cs="Times New Roman"/>
          <w:bCs/>
          <w:szCs w:val="32"/>
        </w:rPr>
        <w:t>第一节  提高就业创业质量</w:t>
      </w:r>
      <w:r>
        <w:tab/>
      </w:r>
      <w:r>
        <w:fldChar w:fldCharType="begin"/>
      </w:r>
      <w:r>
        <w:instrText xml:space="preserve"> PAGEREF _Toc28519 </w:instrText>
      </w:r>
      <w:r>
        <w:fldChar w:fldCharType="separate"/>
      </w:r>
      <w:r>
        <w:t>76</w:t>
      </w:r>
      <w:r>
        <w:fldChar w:fldCharType="end"/>
      </w:r>
      <w:r>
        <w:rPr>
          <w:rFonts w:ascii="Times New Roman" w:hAnsi="Times New Roman" w:eastAsia="宋体" w:cs="Times New Roman"/>
        </w:rPr>
        <w:fldChar w:fldCharType="end"/>
      </w:r>
    </w:p>
    <w:p>
      <w:pPr>
        <w:pStyle w:val="8"/>
        <w:tabs>
          <w:tab w:val="right" w:leader="dot" w:pos="8844"/>
        </w:tabs>
        <w:spacing w:line="560" w:lineRule="exact"/>
        <w:ind w:left="480"/>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_Toc31036 </w:instrText>
      </w:r>
      <w:r>
        <w:rPr>
          <w:rFonts w:ascii="Times New Roman" w:hAnsi="Times New Roman" w:eastAsia="宋体" w:cs="Times New Roman"/>
        </w:rPr>
        <w:fldChar w:fldCharType="separate"/>
      </w:r>
      <w:r>
        <w:rPr>
          <w:rFonts w:ascii="Times New Roman" w:hAnsi="Times New Roman" w:eastAsia="楷体_GB2312" w:cs="Times New Roman"/>
          <w:bCs/>
          <w:szCs w:val="32"/>
        </w:rPr>
        <w:t>第二节  优先发展教育事业</w:t>
      </w:r>
      <w:r>
        <w:tab/>
      </w:r>
      <w:r>
        <w:fldChar w:fldCharType="begin"/>
      </w:r>
      <w:r>
        <w:instrText xml:space="preserve"> PAGEREF _Toc31036 </w:instrText>
      </w:r>
      <w:r>
        <w:fldChar w:fldCharType="separate"/>
      </w:r>
      <w:r>
        <w:t>77</w:t>
      </w:r>
      <w:r>
        <w:fldChar w:fldCharType="end"/>
      </w:r>
      <w:r>
        <w:rPr>
          <w:rFonts w:ascii="Times New Roman" w:hAnsi="Times New Roman" w:eastAsia="宋体" w:cs="Times New Roman"/>
        </w:rPr>
        <w:fldChar w:fldCharType="end"/>
      </w:r>
    </w:p>
    <w:p>
      <w:pPr>
        <w:pStyle w:val="8"/>
        <w:tabs>
          <w:tab w:val="right" w:leader="dot" w:pos="8844"/>
        </w:tabs>
        <w:spacing w:line="560" w:lineRule="exact"/>
        <w:ind w:left="480"/>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_Toc30754 </w:instrText>
      </w:r>
      <w:r>
        <w:rPr>
          <w:rFonts w:ascii="Times New Roman" w:hAnsi="Times New Roman" w:eastAsia="宋体" w:cs="Times New Roman"/>
        </w:rPr>
        <w:fldChar w:fldCharType="separate"/>
      </w:r>
      <w:r>
        <w:rPr>
          <w:rFonts w:ascii="Times New Roman" w:hAnsi="Times New Roman" w:eastAsia="楷体_GB2312" w:cs="Times New Roman"/>
          <w:bCs/>
          <w:szCs w:val="32"/>
        </w:rPr>
        <w:t>第三节  完善社会保障体系</w:t>
      </w:r>
      <w:r>
        <w:tab/>
      </w:r>
      <w:r>
        <w:fldChar w:fldCharType="begin"/>
      </w:r>
      <w:r>
        <w:instrText xml:space="preserve"> PAGEREF _Toc30754 </w:instrText>
      </w:r>
      <w:r>
        <w:fldChar w:fldCharType="separate"/>
      </w:r>
      <w:r>
        <w:t>78</w:t>
      </w:r>
      <w:r>
        <w:fldChar w:fldCharType="end"/>
      </w:r>
      <w:r>
        <w:rPr>
          <w:rFonts w:ascii="Times New Roman" w:hAnsi="Times New Roman" w:eastAsia="宋体" w:cs="Times New Roman"/>
        </w:rPr>
        <w:fldChar w:fldCharType="end"/>
      </w:r>
    </w:p>
    <w:p>
      <w:pPr>
        <w:pStyle w:val="8"/>
        <w:tabs>
          <w:tab w:val="right" w:leader="dot" w:pos="8844"/>
        </w:tabs>
        <w:spacing w:line="560" w:lineRule="exact"/>
        <w:ind w:left="480"/>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_Toc9205 </w:instrText>
      </w:r>
      <w:r>
        <w:rPr>
          <w:rFonts w:ascii="Times New Roman" w:hAnsi="Times New Roman" w:eastAsia="宋体" w:cs="Times New Roman"/>
        </w:rPr>
        <w:fldChar w:fldCharType="separate"/>
      </w:r>
      <w:r>
        <w:rPr>
          <w:rFonts w:ascii="Times New Roman" w:hAnsi="Times New Roman" w:eastAsia="楷体_GB2312" w:cs="Times New Roman"/>
          <w:bCs/>
          <w:szCs w:val="32"/>
        </w:rPr>
        <w:t>第四节  推进健康西塞山建设</w:t>
      </w:r>
      <w:r>
        <w:tab/>
      </w:r>
      <w:r>
        <w:fldChar w:fldCharType="begin"/>
      </w:r>
      <w:r>
        <w:instrText xml:space="preserve"> PAGEREF _Toc9205 </w:instrText>
      </w:r>
      <w:r>
        <w:fldChar w:fldCharType="separate"/>
      </w:r>
      <w:r>
        <w:t>79</w:t>
      </w:r>
      <w:r>
        <w:fldChar w:fldCharType="end"/>
      </w:r>
      <w:r>
        <w:rPr>
          <w:rFonts w:ascii="Times New Roman" w:hAnsi="Times New Roman" w:eastAsia="宋体" w:cs="Times New Roman"/>
        </w:rPr>
        <w:fldChar w:fldCharType="end"/>
      </w:r>
    </w:p>
    <w:p>
      <w:pPr>
        <w:pStyle w:val="6"/>
        <w:tabs>
          <w:tab w:val="right" w:leader="dot" w:pos="8844"/>
        </w:tabs>
        <w:spacing w:line="560" w:lineRule="exact"/>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_Toc28125 </w:instrText>
      </w:r>
      <w:r>
        <w:rPr>
          <w:rFonts w:ascii="Times New Roman" w:hAnsi="Times New Roman" w:eastAsia="宋体" w:cs="Times New Roman"/>
        </w:rPr>
        <w:fldChar w:fldCharType="separate"/>
      </w:r>
      <w:r>
        <w:rPr>
          <w:rFonts w:ascii="Times New Roman" w:hAnsi="Times New Roman" w:eastAsia="黑体" w:cs="Times New Roman"/>
          <w:kern w:val="32"/>
          <w:szCs w:val="32"/>
        </w:rPr>
        <w:t>第十二章  厚植文化根基 推动文化</w:t>
      </w:r>
      <w:r>
        <w:rPr>
          <w:rFonts w:hint="eastAsia" w:ascii="Times New Roman" w:hAnsi="Times New Roman" w:eastAsia="黑体" w:cs="Times New Roman"/>
          <w:kern w:val="32"/>
          <w:szCs w:val="32"/>
        </w:rPr>
        <w:t>大</w:t>
      </w:r>
      <w:r>
        <w:rPr>
          <w:rFonts w:ascii="Times New Roman" w:hAnsi="Times New Roman" w:eastAsia="黑体" w:cs="Times New Roman"/>
          <w:kern w:val="32"/>
          <w:szCs w:val="32"/>
        </w:rPr>
        <w:t>繁荣</w:t>
      </w:r>
      <w:r>
        <w:tab/>
      </w:r>
      <w:r>
        <w:fldChar w:fldCharType="begin"/>
      </w:r>
      <w:r>
        <w:instrText xml:space="preserve"> PAGEREF _Toc28125 </w:instrText>
      </w:r>
      <w:r>
        <w:fldChar w:fldCharType="separate"/>
      </w:r>
      <w:r>
        <w:t>83</w:t>
      </w:r>
      <w:r>
        <w:fldChar w:fldCharType="end"/>
      </w:r>
      <w:r>
        <w:rPr>
          <w:rFonts w:ascii="Times New Roman" w:hAnsi="Times New Roman" w:eastAsia="宋体" w:cs="Times New Roman"/>
        </w:rPr>
        <w:fldChar w:fldCharType="end"/>
      </w:r>
    </w:p>
    <w:p>
      <w:pPr>
        <w:pStyle w:val="8"/>
        <w:tabs>
          <w:tab w:val="right" w:leader="dot" w:pos="8844"/>
        </w:tabs>
        <w:spacing w:line="560" w:lineRule="exact"/>
        <w:ind w:left="480"/>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_Toc4913 </w:instrText>
      </w:r>
      <w:r>
        <w:rPr>
          <w:rFonts w:ascii="Times New Roman" w:hAnsi="Times New Roman" w:eastAsia="宋体" w:cs="Times New Roman"/>
        </w:rPr>
        <w:fldChar w:fldCharType="separate"/>
      </w:r>
      <w:r>
        <w:rPr>
          <w:rFonts w:ascii="Times New Roman" w:hAnsi="Times New Roman" w:eastAsia="楷体_GB2312" w:cs="Times New Roman"/>
          <w:bCs/>
          <w:szCs w:val="32"/>
        </w:rPr>
        <w:t>第一节  弘扬优秀文化传播社会文明</w:t>
      </w:r>
      <w:r>
        <w:tab/>
      </w:r>
      <w:r>
        <w:fldChar w:fldCharType="begin"/>
      </w:r>
      <w:r>
        <w:instrText xml:space="preserve"> PAGEREF _Toc4913 </w:instrText>
      </w:r>
      <w:r>
        <w:fldChar w:fldCharType="separate"/>
      </w:r>
      <w:r>
        <w:t>83</w:t>
      </w:r>
      <w:r>
        <w:fldChar w:fldCharType="end"/>
      </w:r>
      <w:r>
        <w:rPr>
          <w:rFonts w:ascii="Times New Roman" w:hAnsi="Times New Roman" w:eastAsia="宋体" w:cs="Times New Roman"/>
        </w:rPr>
        <w:fldChar w:fldCharType="end"/>
      </w:r>
    </w:p>
    <w:p>
      <w:pPr>
        <w:pStyle w:val="8"/>
        <w:tabs>
          <w:tab w:val="right" w:leader="dot" w:pos="8844"/>
        </w:tabs>
        <w:spacing w:line="560" w:lineRule="exact"/>
        <w:ind w:left="480"/>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_Toc6270 </w:instrText>
      </w:r>
      <w:r>
        <w:rPr>
          <w:rFonts w:ascii="Times New Roman" w:hAnsi="Times New Roman" w:eastAsia="宋体" w:cs="Times New Roman"/>
        </w:rPr>
        <w:fldChar w:fldCharType="separate"/>
      </w:r>
      <w:r>
        <w:rPr>
          <w:rFonts w:ascii="Times New Roman" w:hAnsi="Times New Roman" w:eastAsia="楷体_GB2312" w:cs="Times New Roman"/>
          <w:bCs/>
          <w:szCs w:val="32"/>
        </w:rPr>
        <w:t>第二节  提升文化体育公共服务水平</w:t>
      </w:r>
      <w:r>
        <w:tab/>
      </w:r>
      <w:r>
        <w:fldChar w:fldCharType="begin"/>
      </w:r>
      <w:r>
        <w:instrText xml:space="preserve"> PAGEREF _Toc6270 </w:instrText>
      </w:r>
      <w:r>
        <w:fldChar w:fldCharType="separate"/>
      </w:r>
      <w:r>
        <w:t>85</w:t>
      </w:r>
      <w:r>
        <w:fldChar w:fldCharType="end"/>
      </w:r>
      <w:r>
        <w:rPr>
          <w:rFonts w:ascii="Times New Roman" w:hAnsi="Times New Roman" w:eastAsia="宋体" w:cs="Times New Roman"/>
        </w:rPr>
        <w:fldChar w:fldCharType="end"/>
      </w:r>
    </w:p>
    <w:p>
      <w:pPr>
        <w:pStyle w:val="8"/>
        <w:tabs>
          <w:tab w:val="right" w:leader="dot" w:pos="8844"/>
        </w:tabs>
        <w:spacing w:line="560" w:lineRule="exact"/>
        <w:ind w:left="480"/>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_Toc28010 </w:instrText>
      </w:r>
      <w:r>
        <w:rPr>
          <w:rFonts w:ascii="Times New Roman" w:hAnsi="Times New Roman" w:eastAsia="宋体" w:cs="Times New Roman"/>
        </w:rPr>
        <w:fldChar w:fldCharType="separate"/>
      </w:r>
      <w:r>
        <w:rPr>
          <w:rFonts w:ascii="Times New Roman" w:hAnsi="Times New Roman" w:eastAsia="楷体_GB2312" w:cs="Times New Roman"/>
          <w:bCs/>
          <w:szCs w:val="32"/>
        </w:rPr>
        <w:t>第三节  推动文化产业</w:t>
      </w:r>
      <w:r>
        <w:rPr>
          <w:rFonts w:hint="eastAsia" w:ascii="Times New Roman" w:hAnsi="Times New Roman" w:eastAsia="楷体_GB2312" w:cs="Times New Roman"/>
          <w:bCs/>
          <w:szCs w:val="32"/>
        </w:rPr>
        <w:t>高质量</w:t>
      </w:r>
      <w:r>
        <w:rPr>
          <w:rFonts w:ascii="Times New Roman" w:hAnsi="Times New Roman" w:eastAsia="楷体_GB2312" w:cs="Times New Roman"/>
          <w:bCs/>
          <w:szCs w:val="32"/>
        </w:rPr>
        <w:t>发展</w:t>
      </w:r>
      <w:r>
        <w:tab/>
      </w:r>
      <w:r>
        <w:fldChar w:fldCharType="begin"/>
      </w:r>
      <w:r>
        <w:instrText xml:space="preserve"> PAGEREF _Toc28010 </w:instrText>
      </w:r>
      <w:r>
        <w:fldChar w:fldCharType="separate"/>
      </w:r>
      <w:r>
        <w:t>86</w:t>
      </w:r>
      <w:r>
        <w:fldChar w:fldCharType="end"/>
      </w:r>
      <w:r>
        <w:rPr>
          <w:rFonts w:ascii="Times New Roman" w:hAnsi="Times New Roman" w:eastAsia="宋体" w:cs="Times New Roman"/>
        </w:rPr>
        <w:fldChar w:fldCharType="end"/>
      </w:r>
    </w:p>
    <w:p>
      <w:pPr>
        <w:pStyle w:val="6"/>
        <w:tabs>
          <w:tab w:val="right" w:leader="dot" w:pos="8844"/>
        </w:tabs>
        <w:spacing w:line="560" w:lineRule="exact"/>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_Toc12827 </w:instrText>
      </w:r>
      <w:r>
        <w:rPr>
          <w:rFonts w:ascii="Times New Roman" w:hAnsi="Times New Roman" w:eastAsia="宋体" w:cs="Times New Roman"/>
        </w:rPr>
        <w:fldChar w:fldCharType="separate"/>
      </w:r>
      <w:r>
        <w:rPr>
          <w:rFonts w:ascii="Times New Roman" w:hAnsi="Times New Roman" w:eastAsia="黑体" w:cs="Times New Roman"/>
          <w:kern w:val="32"/>
          <w:szCs w:val="32"/>
        </w:rPr>
        <w:t>第十三章  推进社会治理现代化 建设更高水平平安西塞山</w:t>
      </w:r>
      <w:r>
        <w:tab/>
      </w:r>
      <w:r>
        <w:fldChar w:fldCharType="begin"/>
      </w:r>
      <w:r>
        <w:instrText xml:space="preserve"> PAGEREF _Toc12827 </w:instrText>
      </w:r>
      <w:r>
        <w:fldChar w:fldCharType="separate"/>
      </w:r>
      <w:r>
        <w:t>88</w:t>
      </w:r>
      <w:r>
        <w:fldChar w:fldCharType="end"/>
      </w:r>
      <w:r>
        <w:rPr>
          <w:rFonts w:ascii="Times New Roman" w:hAnsi="Times New Roman" w:eastAsia="宋体" w:cs="Times New Roman"/>
        </w:rPr>
        <w:fldChar w:fldCharType="end"/>
      </w:r>
    </w:p>
    <w:p>
      <w:pPr>
        <w:pStyle w:val="8"/>
        <w:tabs>
          <w:tab w:val="right" w:leader="dot" w:pos="8844"/>
        </w:tabs>
        <w:spacing w:line="560" w:lineRule="exact"/>
        <w:ind w:left="480"/>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_Toc985 </w:instrText>
      </w:r>
      <w:r>
        <w:rPr>
          <w:rFonts w:ascii="Times New Roman" w:hAnsi="Times New Roman" w:eastAsia="宋体" w:cs="Times New Roman"/>
        </w:rPr>
        <w:fldChar w:fldCharType="separate"/>
      </w:r>
      <w:r>
        <w:rPr>
          <w:rFonts w:ascii="Times New Roman" w:hAnsi="Times New Roman" w:eastAsia="楷体_GB2312" w:cs="Times New Roman"/>
          <w:bCs/>
          <w:szCs w:val="32"/>
        </w:rPr>
        <w:t>第一节  构建多元共治格局，打造社会治理共同体</w:t>
      </w:r>
      <w:r>
        <w:tab/>
      </w:r>
      <w:r>
        <w:fldChar w:fldCharType="begin"/>
      </w:r>
      <w:r>
        <w:instrText xml:space="preserve"> PAGEREF _Toc985 </w:instrText>
      </w:r>
      <w:r>
        <w:fldChar w:fldCharType="separate"/>
      </w:r>
      <w:r>
        <w:t>88</w:t>
      </w:r>
      <w:r>
        <w:fldChar w:fldCharType="end"/>
      </w:r>
      <w:r>
        <w:rPr>
          <w:rFonts w:ascii="Times New Roman" w:hAnsi="Times New Roman" w:eastAsia="宋体" w:cs="Times New Roman"/>
        </w:rPr>
        <w:fldChar w:fldCharType="end"/>
      </w:r>
    </w:p>
    <w:p>
      <w:pPr>
        <w:pStyle w:val="8"/>
        <w:tabs>
          <w:tab w:val="right" w:leader="dot" w:pos="8844"/>
        </w:tabs>
        <w:spacing w:line="560" w:lineRule="exact"/>
        <w:ind w:left="480"/>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_Toc12442 </w:instrText>
      </w:r>
      <w:r>
        <w:rPr>
          <w:rFonts w:ascii="Times New Roman" w:hAnsi="Times New Roman" w:eastAsia="宋体" w:cs="Times New Roman"/>
        </w:rPr>
        <w:fldChar w:fldCharType="separate"/>
      </w:r>
      <w:r>
        <w:rPr>
          <w:rFonts w:ascii="Times New Roman" w:hAnsi="Times New Roman" w:eastAsia="楷体_GB2312" w:cs="Times New Roman"/>
          <w:bCs/>
          <w:szCs w:val="32"/>
        </w:rPr>
        <w:t>第二节  统筹四大要素体系，促进治理能力一盘棋</w:t>
      </w:r>
      <w:r>
        <w:tab/>
      </w:r>
      <w:r>
        <w:fldChar w:fldCharType="begin"/>
      </w:r>
      <w:r>
        <w:instrText xml:space="preserve"> PAGEREF _Toc12442 </w:instrText>
      </w:r>
      <w:r>
        <w:fldChar w:fldCharType="separate"/>
      </w:r>
      <w:r>
        <w:t>91</w:t>
      </w:r>
      <w:r>
        <w:fldChar w:fldCharType="end"/>
      </w:r>
      <w:r>
        <w:rPr>
          <w:rFonts w:ascii="Times New Roman" w:hAnsi="Times New Roman" w:eastAsia="宋体" w:cs="Times New Roman"/>
        </w:rPr>
        <w:fldChar w:fldCharType="end"/>
      </w:r>
    </w:p>
    <w:p>
      <w:pPr>
        <w:pStyle w:val="8"/>
        <w:tabs>
          <w:tab w:val="right" w:leader="dot" w:pos="8844"/>
        </w:tabs>
        <w:spacing w:line="560" w:lineRule="exact"/>
        <w:ind w:left="480"/>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_Toc22 </w:instrText>
      </w:r>
      <w:r>
        <w:rPr>
          <w:rFonts w:ascii="Times New Roman" w:hAnsi="Times New Roman" w:eastAsia="宋体" w:cs="Times New Roman"/>
        </w:rPr>
        <w:fldChar w:fldCharType="separate"/>
      </w:r>
      <w:r>
        <w:rPr>
          <w:rFonts w:ascii="Times New Roman" w:hAnsi="Times New Roman" w:eastAsia="楷体_GB2312" w:cs="Times New Roman"/>
          <w:bCs/>
          <w:szCs w:val="32"/>
        </w:rPr>
        <w:t>第三节  创新五大融合维度，发挥基层治理新效能</w:t>
      </w:r>
      <w:r>
        <w:tab/>
      </w:r>
      <w:r>
        <w:fldChar w:fldCharType="begin"/>
      </w:r>
      <w:r>
        <w:instrText xml:space="preserve"> PAGEREF _Toc22 </w:instrText>
      </w:r>
      <w:r>
        <w:fldChar w:fldCharType="separate"/>
      </w:r>
      <w:r>
        <w:t>93</w:t>
      </w:r>
      <w:r>
        <w:fldChar w:fldCharType="end"/>
      </w:r>
      <w:r>
        <w:rPr>
          <w:rFonts w:ascii="Times New Roman" w:hAnsi="Times New Roman" w:eastAsia="宋体" w:cs="Times New Roman"/>
        </w:rPr>
        <w:fldChar w:fldCharType="end"/>
      </w:r>
    </w:p>
    <w:p>
      <w:pPr>
        <w:pStyle w:val="6"/>
        <w:tabs>
          <w:tab w:val="right" w:leader="dot" w:pos="8844"/>
        </w:tabs>
        <w:spacing w:line="560" w:lineRule="exact"/>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_Toc7512 </w:instrText>
      </w:r>
      <w:r>
        <w:rPr>
          <w:rFonts w:ascii="Times New Roman" w:hAnsi="Times New Roman" w:eastAsia="宋体" w:cs="Times New Roman"/>
        </w:rPr>
        <w:fldChar w:fldCharType="separate"/>
      </w:r>
      <w:r>
        <w:rPr>
          <w:rFonts w:ascii="Times New Roman" w:hAnsi="Times New Roman" w:eastAsia="黑体" w:cs="Times New Roman"/>
          <w:kern w:val="32"/>
          <w:szCs w:val="32"/>
        </w:rPr>
        <w:t>第十四章  坚持党的全面领导 为规划实施提供坚强保障</w:t>
      </w:r>
      <w:r>
        <w:tab/>
      </w:r>
      <w:r>
        <w:fldChar w:fldCharType="begin"/>
      </w:r>
      <w:r>
        <w:instrText xml:space="preserve"> PAGEREF _Toc7512 </w:instrText>
      </w:r>
      <w:r>
        <w:fldChar w:fldCharType="separate"/>
      </w:r>
      <w:r>
        <w:t>96</w:t>
      </w:r>
      <w:r>
        <w:fldChar w:fldCharType="end"/>
      </w:r>
      <w:r>
        <w:rPr>
          <w:rFonts w:ascii="Times New Roman" w:hAnsi="Times New Roman" w:eastAsia="宋体" w:cs="Times New Roman"/>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560" w:lineRule="exact"/>
        <w:ind w:left="480"/>
        <w:textAlignment w:val="auto"/>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_Toc15268 </w:instrText>
      </w:r>
      <w:r>
        <w:rPr>
          <w:rFonts w:ascii="Times New Roman" w:hAnsi="Times New Roman" w:eastAsia="宋体" w:cs="Times New Roman"/>
        </w:rPr>
        <w:fldChar w:fldCharType="separate"/>
      </w:r>
      <w:r>
        <w:rPr>
          <w:rFonts w:ascii="Times New Roman" w:hAnsi="Times New Roman" w:eastAsia="楷体_GB2312" w:cs="Times New Roman"/>
          <w:bCs/>
          <w:szCs w:val="32"/>
        </w:rPr>
        <w:t>第一节  加强组织保障</w:t>
      </w:r>
      <w:r>
        <w:tab/>
      </w:r>
      <w:r>
        <w:fldChar w:fldCharType="begin"/>
      </w:r>
      <w:r>
        <w:instrText xml:space="preserve"> PAGEREF _Toc15268 </w:instrText>
      </w:r>
      <w:r>
        <w:fldChar w:fldCharType="separate"/>
      </w:r>
      <w:r>
        <w:t>96</w:t>
      </w:r>
      <w:r>
        <w:fldChar w:fldCharType="end"/>
      </w:r>
      <w:r>
        <w:rPr>
          <w:rFonts w:ascii="Times New Roman" w:hAnsi="Times New Roman" w:eastAsia="宋体" w:cs="Times New Roman"/>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560" w:lineRule="exact"/>
        <w:ind w:left="480"/>
        <w:textAlignment w:val="auto"/>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_Toc29434 </w:instrText>
      </w:r>
      <w:r>
        <w:rPr>
          <w:rFonts w:ascii="Times New Roman" w:hAnsi="Times New Roman" w:eastAsia="宋体" w:cs="Times New Roman"/>
        </w:rPr>
        <w:fldChar w:fldCharType="separate"/>
      </w:r>
      <w:r>
        <w:rPr>
          <w:rFonts w:ascii="Times New Roman" w:hAnsi="Times New Roman" w:eastAsia="楷体_GB2312" w:cs="Times New Roman"/>
          <w:bCs/>
          <w:szCs w:val="32"/>
        </w:rPr>
        <w:t>第二节  强化规划支撑</w:t>
      </w:r>
      <w:r>
        <w:tab/>
      </w:r>
      <w:r>
        <w:fldChar w:fldCharType="begin"/>
      </w:r>
      <w:r>
        <w:instrText xml:space="preserve"> PAGEREF _Toc29434 </w:instrText>
      </w:r>
      <w:r>
        <w:fldChar w:fldCharType="separate"/>
      </w:r>
      <w:r>
        <w:t>97</w:t>
      </w:r>
      <w:r>
        <w:fldChar w:fldCharType="end"/>
      </w:r>
      <w:r>
        <w:rPr>
          <w:rFonts w:ascii="Times New Roman" w:hAnsi="Times New Roman" w:eastAsia="宋体" w:cs="Times New Roman"/>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560" w:lineRule="exact"/>
        <w:ind w:left="480"/>
        <w:textAlignment w:val="auto"/>
      </w:pPr>
      <w:r>
        <w:rPr>
          <w:rFonts w:ascii="Times New Roman" w:hAnsi="Times New Roman" w:eastAsia="宋体" w:cs="Times New Roman"/>
        </w:rPr>
        <w:fldChar w:fldCharType="begin"/>
      </w:r>
      <w:r>
        <w:rPr>
          <w:rFonts w:ascii="Times New Roman" w:hAnsi="Times New Roman" w:eastAsia="宋体" w:cs="Times New Roman"/>
        </w:rPr>
        <w:instrText xml:space="preserve"> HYPERLINK \l _Toc30972 </w:instrText>
      </w:r>
      <w:r>
        <w:rPr>
          <w:rFonts w:ascii="Times New Roman" w:hAnsi="Times New Roman" w:eastAsia="宋体" w:cs="Times New Roman"/>
        </w:rPr>
        <w:fldChar w:fldCharType="separate"/>
      </w:r>
      <w:r>
        <w:rPr>
          <w:rFonts w:ascii="Times New Roman" w:hAnsi="Times New Roman" w:eastAsia="楷体_GB2312" w:cs="Times New Roman"/>
          <w:bCs/>
          <w:szCs w:val="32"/>
        </w:rPr>
        <w:t>第三节  健全实施机制</w:t>
      </w:r>
      <w:r>
        <w:tab/>
      </w:r>
      <w:r>
        <w:fldChar w:fldCharType="begin"/>
      </w:r>
      <w:r>
        <w:instrText xml:space="preserve"> PAGEREF _Toc30972 </w:instrText>
      </w:r>
      <w:r>
        <w:fldChar w:fldCharType="separate"/>
      </w:r>
      <w:r>
        <w:t>97</w:t>
      </w:r>
      <w:r>
        <w:fldChar w:fldCharType="end"/>
      </w:r>
      <w:r>
        <w:rPr>
          <w:rFonts w:ascii="Times New Roman" w:hAnsi="Times New Roman" w:eastAsia="宋体" w:cs="Times New Roman"/>
        </w:rPr>
        <w:fldChar w:fldCharType="end"/>
      </w:r>
    </w:p>
    <w:p>
      <w:pPr>
        <w:widowControl w:val="0"/>
        <w:adjustRightInd w:val="0"/>
        <w:snapToGrid w:val="0"/>
        <w:spacing w:line="560" w:lineRule="exact"/>
        <w:jc w:val="distribute"/>
        <w:rPr>
          <w:rFonts w:ascii="Times New Roman" w:hAnsi="Times New Roman" w:cs="Times New Roman"/>
        </w:rPr>
        <w:sectPr>
          <w:pgSz w:w="11906" w:h="16838"/>
          <w:pgMar w:top="2098" w:right="1531" w:bottom="1985" w:left="1531" w:header="851" w:footer="992" w:gutter="0"/>
          <w:cols w:space="720" w:num="1"/>
          <w:docGrid w:type="linesAndChars" w:linePitch="312" w:charSpace="0"/>
        </w:sectPr>
      </w:pPr>
      <w:r>
        <w:rPr>
          <w:rFonts w:ascii="Times New Roman" w:hAnsi="Times New Roman" w:eastAsia="宋体" w:cs="Times New Roman"/>
        </w:rPr>
        <w:fldChar w:fldCharType="end"/>
      </w:r>
    </w:p>
    <w:p>
      <w:pPr>
        <w:widowControl w:val="0"/>
        <w:spacing w:line="56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十四五”时期是我国由全面建成小康社会向基本实现社会主义现代化迈进的关键五年，也是推动西塞山区疫后重振和高质量发展、全面开启社会主义现代化强区建设新征程的开局五年。面临经济社会发展形势新挑战、社会主要矛盾新变化、高质量发展新要求，科学谋划“十四五”经济社会发展新蓝图，对于巩固西塞山区全面建成小康社会成果，推动转型跨越高质量发展，打造成为全国最具核心竞争力的特钢产业基地、长江中游港口货运总部中心、黄石沿江高质量发展带先进制造业和现代服务业转型升级示范区具有重大意义。</w:t>
      </w:r>
    </w:p>
    <w:p>
      <w:pPr>
        <w:widowControl w:val="0"/>
        <w:adjustRightInd w:val="0"/>
        <w:snapToGrid w:val="0"/>
        <w:spacing w:before="240" w:line="560" w:lineRule="exact"/>
        <w:jc w:val="center"/>
        <w:outlineLvl w:val="0"/>
        <w:rPr>
          <w:rFonts w:ascii="Times New Roman" w:hAnsi="Times New Roman" w:eastAsia="黑体" w:cs="Times New Roman"/>
          <w:kern w:val="32"/>
          <w:sz w:val="32"/>
          <w:szCs w:val="32"/>
        </w:rPr>
      </w:pPr>
      <w:bookmarkStart w:id="0" w:name="_Toc47971139"/>
      <w:bookmarkStart w:id="1" w:name="_Toc14087"/>
      <w:r>
        <w:rPr>
          <w:rFonts w:ascii="Times New Roman" w:hAnsi="Times New Roman" w:eastAsia="黑体" w:cs="Times New Roman"/>
          <w:kern w:val="32"/>
          <w:sz w:val="32"/>
          <w:szCs w:val="32"/>
        </w:rPr>
        <w:t>第一章 全面建成小康社会</w:t>
      </w:r>
      <w:bookmarkEnd w:id="0"/>
      <w:r>
        <w:rPr>
          <w:rFonts w:ascii="Times New Roman" w:hAnsi="Times New Roman" w:eastAsia="黑体" w:cs="Times New Roman"/>
          <w:kern w:val="32"/>
          <w:sz w:val="32"/>
          <w:szCs w:val="32"/>
        </w:rPr>
        <w:t xml:space="preserve"> 开启全面建设</w:t>
      </w:r>
      <w:bookmarkEnd w:id="1"/>
    </w:p>
    <w:p>
      <w:pPr>
        <w:widowControl w:val="0"/>
        <w:adjustRightInd w:val="0"/>
        <w:snapToGrid w:val="0"/>
        <w:spacing w:line="560" w:lineRule="exact"/>
        <w:jc w:val="center"/>
        <w:outlineLvl w:val="0"/>
        <w:rPr>
          <w:rFonts w:ascii="Times New Roman" w:hAnsi="Times New Roman" w:eastAsia="黑体" w:cs="Times New Roman"/>
          <w:kern w:val="32"/>
          <w:sz w:val="32"/>
          <w:szCs w:val="32"/>
        </w:rPr>
      </w:pPr>
      <w:bookmarkStart w:id="2" w:name="_Toc61361457"/>
      <w:bookmarkStart w:id="3" w:name="_Toc60749819"/>
      <w:bookmarkStart w:id="4" w:name="_Toc81"/>
      <w:bookmarkStart w:id="5" w:name="_Toc60759456"/>
      <w:bookmarkStart w:id="6" w:name="_Toc60755694"/>
      <w:bookmarkStart w:id="7" w:name="_Toc61014777"/>
      <w:bookmarkStart w:id="8" w:name="_Toc60319854"/>
      <w:bookmarkStart w:id="9" w:name="_Toc60729328"/>
      <w:bookmarkStart w:id="10" w:name="_Toc7555"/>
      <w:r>
        <w:rPr>
          <w:rFonts w:ascii="Times New Roman" w:hAnsi="Times New Roman" w:eastAsia="黑体" w:cs="Times New Roman"/>
          <w:kern w:val="32"/>
          <w:sz w:val="32"/>
          <w:szCs w:val="32"/>
        </w:rPr>
        <w:t>社会主义现代化新征程</w:t>
      </w:r>
      <w:bookmarkEnd w:id="2"/>
      <w:bookmarkEnd w:id="3"/>
      <w:bookmarkEnd w:id="4"/>
      <w:bookmarkEnd w:id="5"/>
      <w:bookmarkEnd w:id="6"/>
      <w:bookmarkEnd w:id="7"/>
      <w:bookmarkEnd w:id="8"/>
      <w:bookmarkEnd w:id="9"/>
      <w:bookmarkEnd w:id="10"/>
    </w:p>
    <w:p>
      <w:pPr>
        <w:widowControl w:val="0"/>
        <w:spacing w:before="240" w:after="60" w:line="560" w:lineRule="exact"/>
        <w:jc w:val="center"/>
        <w:outlineLvl w:val="1"/>
        <w:rPr>
          <w:rFonts w:ascii="Times New Roman" w:hAnsi="Times New Roman" w:eastAsia="楷体_GB2312" w:cs="Times New Roman"/>
          <w:b/>
          <w:bCs/>
          <w:sz w:val="32"/>
          <w:szCs w:val="32"/>
        </w:rPr>
      </w:pPr>
      <w:bookmarkStart w:id="11" w:name="_Toc47971140"/>
      <w:bookmarkStart w:id="12" w:name="_Toc2730"/>
      <w:r>
        <w:rPr>
          <w:rFonts w:ascii="Times New Roman" w:hAnsi="Times New Roman" w:eastAsia="楷体_GB2312" w:cs="Times New Roman"/>
          <w:b/>
          <w:bCs/>
          <w:sz w:val="32"/>
          <w:szCs w:val="32"/>
        </w:rPr>
        <w:t>第一节</w:t>
      </w:r>
      <w:bookmarkEnd w:id="11"/>
      <w:r>
        <w:rPr>
          <w:rFonts w:ascii="Times New Roman" w:hAnsi="Times New Roman" w:eastAsia="楷体_GB2312" w:cs="Times New Roman"/>
          <w:b/>
          <w:bCs/>
          <w:sz w:val="32"/>
          <w:szCs w:val="32"/>
        </w:rPr>
        <w:t xml:space="preserve">  决胜全面建成小康社会取得决定性成就</w:t>
      </w:r>
      <w:bookmarkEnd w:id="12"/>
    </w:p>
    <w:p>
      <w:pPr>
        <w:widowControl w:val="0"/>
        <w:spacing w:line="560" w:lineRule="exact"/>
        <w:ind w:firstLine="640" w:firstLineChars="20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十三五”时期，面对严峻复杂形势和艰巨繁重的改革发展稳定任务，区委坚持以习近平新时代中国特色社会主义思想为指导，坚决贯彻党中央决策部署和省委、市委工作要求，团结带领全区人民加快建设富强和美主力城区，全区经济社会发展取得新的重大成就。特别是面对突如其来的新冠肺炎疫情，全区统筹推进疫情防控和经济社会发展，疫情防控阻击战取得决定性成果并巩固拓展，疫后重振的经济发展战、民生保卫战、社会稳定战取得重要进展，区域协同发展格局全面拉开、发展方向更加明晰。五年的发展成就，为开启全面建设社会主义现代化新征程奠定了坚实基础。</w:t>
      </w:r>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楷体_GB2312" w:cs="Times New Roman"/>
          <w:b/>
          <w:bCs/>
          <w:sz w:val="32"/>
          <w:szCs w:val="32"/>
        </w:rPr>
        <w:t>综合实力持续增强。</w:t>
      </w:r>
      <w:r>
        <w:rPr>
          <w:rFonts w:ascii="Times New Roman" w:hAnsi="Times New Roman" w:eastAsia="仿宋_GB2312" w:cs="Times New Roman"/>
          <w:sz w:val="32"/>
          <w:szCs w:val="32"/>
        </w:rPr>
        <w:t>全区经济社会发展呈现稳中有进、逆势而上、提质增效的良好态势。“十三五”时期，西塞山区经济保持了较快的增长态势。预计，2020年全区地区生产总值完成200亿元，年均增长3.3%。规模以上工业增加值、固定资产投资、第三产业增加值保持较快增长。特别是第三产业增加值，2019年达到96.57亿元，同比增长10.4%，全市排名第一。R&amp;D占比、高新技术产业增加值占比、城镇新增就业人数等指标也均实现预期目标。</w:t>
      </w:r>
    </w:p>
    <w:p>
      <w:pPr>
        <w:widowControl w:val="0"/>
        <w:spacing w:line="560" w:lineRule="exact"/>
        <w:ind w:firstLine="640" w:firstLineChars="200"/>
        <w:jc w:val="both"/>
        <w:rPr>
          <w:rFonts w:ascii="Times New Roman" w:hAnsi="Times New Roman" w:eastAsia="仿宋_GB2312" w:cs="Times New Roman"/>
          <w:sz w:val="32"/>
          <w:szCs w:val="32"/>
        </w:rPr>
      </w:pPr>
      <w:bookmarkStart w:id="13" w:name="_Toc47971141"/>
      <w:r>
        <w:rPr>
          <w:rFonts w:ascii="Times New Roman" w:hAnsi="Times New Roman" w:eastAsia="楷体_GB2312" w:cs="Times New Roman"/>
          <w:b/>
          <w:bCs/>
          <w:sz w:val="32"/>
          <w:szCs w:val="32"/>
        </w:rPr>
        <w:t>经济转型量质齐升。</w:t>
      </w:r>
      <w:r>
        <w:rPr>
          <w:rFonts w:ascii="Times New Roman" w:hAnsi="Times New Roman" w:eastAsia="仿宋_GB2312" w:cs="Times New Roman"/>
          <w:sz w:val="32"/>
          <w:szCs w:val="32"/>
        </w:rPr>
        <w:t>“十三五”期间，全区已进入以结构调整升级促发展的新阶段，</w:t>
      </w:r>
      <w:r>
        <w:rPr>
          <w:rFonts w:ascii="Times New Roman" w:hAnsi="Times New Roman" w:eastAsia="仿宋_GB2312" w:cs="Times New Roman"/>
          <w:sz w:val="32"/>
          <w:szCs w:val="32"/>
          <w:lang w:eastAsia="zh-Hans"/>
        </w:rPr>
        <w:t>产业持续良性发展。三次产业结构比由十二五末的0.55:60:39.45调整为0.63:55.49:43.88；</w:t>
      </w:r>
      <w:r>
        <w:rPr>
          <w:rFonts w:ascii="Times New Roman" w:hAnsi="Times New Roman" w:eastAsia="仿宋_GB2312" w:cs="Times New Roman"/>
          <w:sz w:val="32"/>
          <w:szCs w:val="32"/>
          <w:shd w:val="clear" w:color="auto" w:fill="FFFFFF"/>
        </w:rPr>
        <w:t>全区规上工业总产值占全市比重提高3.9个百分点；工业企业利税总额从18.86亿元提高到30.68亿元，增长62.6%；高新技术产业增加值从22.5亿元提高到50.35亿元，增长124%，占GDP比重高于全市、全省0.9、3.4个百分点。</w:t>
      </w:r>
      <w:r>
        <w:rPr>
          <w:rFonts w:ascii="Times New Roman" w:hAnsi="Times New Roman" w:eastAsia="仿宋_GB2312" w:cs="Times New Roman"/>
          <w:sz w:val="32"/>
          <w:szCs w:val="32"/>
          <w:lang w:eastAsia="zh-Hans"/>
        </w:rPr>
        <w:t>产业</w:t>
      </w:r>
      <w:r>
        <w:rPr>
          <w:rFonts w:ascii="Times New Roman" w:hAnsi="Times New Roman" w:eastAsia="仿宋_GB2312" w:cs="Times New Roman"/>
          <w:sz w:val="32"/>
          <w:szCs w:val="32"/>
        </w:rPr>
        <w:t>布局</w:t>
      </w:r>
      <w:r>
        <w:rPr>
          <w:rFonts w:ascii="Times New Roman" w:hAnsi="Times New Roman" w:eastAsia="仿宋_GB2312" w:cs="Times New Roman"/>
          <w:sz w:val="32"/>
          <w:szCs w:val="32"/>
          <w:lang w:eastAsia="zh-Hans"/>
        </w:rPr>
        <w:t>不断优化，</w:t>
      </w:r>
      <w:r>
        <w:rPr>
          <w:rFonts w:ascii="Times New Roman" w:hAnsi="Times New Roman" w:eastAsia="仿宋_GB2312" w:cs="Times New Roman"/>
          <w:sz w:val="32"/>
          <w:szCs w:val="32"/>
        </w:rPr>
        <w:t>淘汰产能落后企业，对夏浴湖周边49家模具钢企业关停整改，升级改造整合入园发展。</w:t>
      </w:r>
    </w:p>
    <w:p>
      <w:pPr>
        <w:widowControl w:val="0"/>
        <w:spacing w:line="560" w:lineRule="exact"/>
        <w:ind w:firstLine="640" w:firstLineChars="200"/>
        <w:jc w:val="both"/>
        <w:rPr>
          <w:rFonts w:ascii="Times New Roman" w:hAnsi="Times New Roman" w:eastAsia="仿宋_GB2312" w:cs="Times New Roman"/>
          <w:sz w:val="32"/>
          <w:szCs w:val="32"/>
          <w:shd w:val="clear" w:color="auto" w:fill="FFFFFF"/>
        </w:rPr>
      </w:pPr>
      <w:r>
        <w:rPr>
          <w:rFonts w:ascii="Times New Roman" w:hAnsi="Times New Roman" w:eastAsia="楷体_GB2312" w:cs="Times New Roman"/>
          <w:b/>
          <w:bCs/>
          <w:sz w:val="32"/>
          <w:szCs w:val="32"/>
        </w:rPr>
        <w:t>改革创新发展成效显著。</w:t>
      </w:r>
      <w:r>
        <w:rPr>
          <w:rFonts w:ascii="Times New Roman" w:hAnsi="Times New Roman" w:eastAsia="仿宋_GB2312" w:cs="Times New Roman"/>
          <w:sz w:val="32"/>
          <w:szCs w:val="32"/>
        </w:rPr>
        <w:t>街道社区管理体制、园区建设模式、创新平台、基层党建、教育和基层公卫体系等方面改革向纵深推进。</w:t>
      </w:r>
      <w:r>
        <w:rPr>
          <w:rFonts w:ascii="Times New Roman" w:hAnsi="Times New Roman" w:eastAsia="仿宋_GB2312" w:cs="Times New Roman"/>
          <w:sz w:val="32"/>
          <w:szCs w:val="32"/>
          <w:shd w:val="clear" w:color="auto" w:fill="FFFFFF"/>
        </w:rPr>
        <w:t>2017-2019年连续三年荣获“全省科技创新先进县（市、区）”称号，2020年</w:t>
      </w:r>
      <w:r>
        <w:rPr>
          <w:rFonts w:ascii="Times New Roman" w:hAnsi="Times New Roman" w:eastAsia="仿宋_GB2312" w:cs="Times New Roman"/>
          <w:sz w:val="32"/>
          <w:szCs w:val="32"/>
        </w:rPr>
        <w:t>荣获省“科技创新驱动发展良好区”称号</w:t>
      </w:r>
      <w:r>
        <w:rPr>
          <w:rFonts w:ascii="Times New Roman" w:hAnsi="Times New Roman" w:eastAsia="仿宋_GB2312" w:cs="Times New Roman"/>
          <w:sz w:val="32"/>
          <w:szCs w:val="32"/>
          <w:shd w:val="clear" w:color="auto" w:fill="FFFFFF"/>
        </w:rPr>
        <w:t>，黄石科创模具技术研究院成为全市首家省级产业研究院。2018年获“全国中小学校责任督学挂牌督导创新县（市、区）”称号，2020年获“湖北省县管校聘管理改革示范区”称号。</w:t>
      </w:r>
    </w:p>
    <w:p>
      <w:pPr>
        <w:widowControl w:val="0"/>
        <w:spacing w:line="560" w:lineRule="exact"/>
        <w:ind w:firstLine="640" w:firstLineChars="200"/>
        <w:jc w:val="both"/>
        <w:rPr>
          <w:rFonts w:ascii="Times New Roman" w:hAnsi="Times New Roman" w:eastAsia="仿宋_GB2312" w:cs="Times New Roman"/>
          <w:sz w:val="32"/>
          <w:szCs w:val="32"/>
          <w:shd w:val="clear" w:color="auto" w:fill="FFFFFF"/>
        </w:rPr>
      </w:pPr>
      <w:r>
        <w:rPr>
          <w:rFonts w:ascii="Times New Roman" w:hAnsi="Times New Roman" w:eastAsia="楷体_GB2312" w:cs="Times New Roman"/>
          <w:b/>
          <w:bCs/>
          <w:sz w:val="32"/>
          <w:szCs w:val="32"/>
        </w:rPr>
        <w:t>城市建设力度空前。</w:t>
      </w:r>
      <w:r>
        <w:rPr>
          <w:rFonts w:ascii="Times New Roman" w:hAnsi="Times New Roman" w:eastAsia="仿宋_GB2312" w:cs="Times New Roman"/>
          <w:sz w:val="32"/>
          <w:szCs w:val="32"/>
        </w:rPr>
        <w:t>棚户区改造全域铺开，征收土地7055亩，房屋面积</w:t>
      </w:r>
      <w:r>
        <w:rPr>
          <w:rFonts w:ascii="Times New Roman" w:hAnsi="Times New Roman" w:eastAsia="仿宋_GB2312" w:cs="Times New Roman"/>
          <w:sz w:val="32"/>
          <w:szCs w:val="32"/>
          <w:lang w:bidi="ar"/>
        </w:rPr>
        <w:t>447.8</w:t>
      </w:r>
      <w:r>
        <w:rPr>
          <w:rFonts w:ascii="Times New Roman" w:hAnsi="Times New Roman" w:eastAsia="仿宋_GB2312" w:cs="Times New Roman"/>
          <w:sz w:val="32"/>
          <w:szCs w:val="32"/>
        </w:rPr>
        <w:t>万</w:t>
      </w:r>
      <w:r>
        <w:rPr>
          <w:rFonts w:hint="eastAsia" w:ascii="Times New Roman" w:hAnsi="Times New Roman" w:eastAsia="仿宋_GB2312" w:cs="Times New Roman"/>
          <w:sz w:val="32"/>
          <w:szCs w:val="32"/>
        </w:rPr>
        <w:t>平方米</w:t>
      </w:r>
      <w:r>
        <w:rPr>
          <w:rFonts w:ascii="Times New Roman" w:hAnsi="Times New Roman" w:eastAsia="仿宋_GB2312" w:cs="Times New Roman"/>
          <w:sz w:val="32"/>
          <w:szCs w:val="32"/>
        </w:rPr>
        <w:t>，</w:t>
      </w:r>
      <w:r>
        <w:rPr>
          <w:rFonts w:ascii="Times New Roman" w:hAnsi="Times New Roman" w:eastAsia="仿宋_GB2312" w:cs="Times New Roman"/>
          <w:sz w:val="32"/>
          <w:szCs w:val="32"/>
          <w:lang w:bidi="ar"/>
        </w:rPr>
        <w:t>同期新开建楼盘面积约165</w:t>
      </w:r>
      <w:r>
        <w:rPr>
          <w:rFonts w:ascii="Times New Roman" w:hAnsi="Times New Roman" w:eastAsia="仿宋_GB2312" w:cs="Times New Roman"/>
          <w:sz w:val="32"/>
          <w:szCs w:val="32"/>
        </w:rPr>
        <w:t>万</w:t>
      </w:r>
      <w:r>
        <w:rPr>
          <w:rFonts w:hint="eastAsia" w:ascii="Times New Roman" w:hAnsi="Times New Roman" w:eastAsia="仿宋_GB2312" w:cs="Times New Roman"/>
          <w:sz w:val="32"/>
          <w:szCs w:val="32"/>
        </w:rPr>
        <w:t>平方米</w:t>
      </w:r>
      <w:r>
        <w:rPr>
          <w:rFonts w:ascii="Times New Roman" w:hAnsi="Times New Roman" w:eastAsia="仿宋_GB2312" w:cs="Times New Roman"/>
          <w:sz w:val="32"/>
          <w:szCs w:val="32"/>
          <w:lang w:bidi="ar"/>
        </w:rPr>
        <w:t>。老</w:t>
      </w:r>
      <w:r>
        <w:rPr>
          <w:rFonts w:ascii="Times New Roman" w:hAnsi="Times New Roman" w:eastAsia="仿宋_GB2312" w:cs="Times New Roman"/>
          <w:spacing w:val="4"/>
          <w:sz w:val="32"/>
          <w:szCs w:val="32"/>
        </w:rPr>
        <w:t>旧小区“金湾工程”全市领先，8个片区16个小区在城区中率先启动改造，惠及居民近1.23万户。</w:t>
      </w:r>
      <w:r>
        <w:rPr>
          <w:rFonts w:ascii="Times New Roman" w:hAnsi="Times New Roman" w:eastAsia="仿宋_GB2312" w:cs="Times New Roman"/>
          <w:sz w:val="32"/>
          <w:szCs w:val="32"/>
          <w:shd w:val="clear" w:color="auto" w:fill="FFFFFF"/>
        </w:rPr>
        <w:t>棚户区改造、老旧小区改道、道路管网建设等方面工程项目覆盖面和投入资金量远超历史同期、位居城区前列。</w:t>
      </w:r>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楷体_GB2312" w:cs="Times New Roman"/>
          <w:b/>
          <w:bCs/>
          <w:sz w:val="32"/>
          <w:szCs w:val="32"/>
        </w:rPr>
        <w:t>生态环境大幅改善。</w:t>
      </w:r>
      <w:r>
        <w:rPr>
          <w:rFonts w:ascii="Times New Roman" w:hAnsi="Times New Roman" w:eastAsia="仿宋_GB2312" w:cs="Times New Roman"/>
          <w:sz w:val="32"/>
          <w:szCs w:val="32"/>
        </w:rPr>
        <w:t>开展长江岸线整治雷霆行动，沿线31个违规入江排口全部取缔封堵，16家非法码头全部清零。全面取缔禁养区内畜禽养殖、重要水体人工投肥养殖。全面落实三级“河（湖）长制”。长江西塞山断面水质长期稳定在</w:t>
      </w:r>
      <w:r>
        <w:rPr>
          <w:rFonts w:hint="eastAsia" w:ascii="宋体" w:hAnsi="宋体" w:eastAsia="宋体" w:cs="宋体"/>
          <w:sz w:val="32"/>
          <w:szCs w:val="32"/>
        </w:rPr>
        <w:t>Ⅲ</w:t>
      </w:r>
      <w:r>
        <w:rPr>
          <w:rFonts w:ascii="Times New Roman" w:hAnsi="Times New Roman" w:eastAsia="仿宋_GB2312" w:cs="Times New Roman"/>
          <w:sz w:val="32"/>
          <w:szCs w:val="32"/>
        </w:rPr>
        <w:t>类以上。连续两年城区优良天气比例在90%以上，空气优良率跃居全市第一。冶钢港等3条黑臭水体治理初见成效。开山塘口修复治理在全市率先全面完成任务。</w:t>
      </w:r>
    </w:p>
    <w:p>
      <w:pPr>
        <w:widowControl w:val="0"/>
        <w:spacing w:line="560" w:lineRule="exact"/>
        <w:ind w:firstLine="640" w:firstLineChars="200"/>
        <w:jc w:val="both"/>
        <w:rPr>
          <w:rFonts w:ascii="Times New Roman" w:hAnsi="Times New Roman" w:eastAsia="仿宋_GB2312" w:cs="Times New Roman"/>
          <w:sz w:val="32"/>
          <w:szCs w:val="32"/>
          <w:shd w:val="clear" w:color="auto" w:fill="FFFFFF"/>
        </w:rPr>
      </w:pPr>
      <w:r>
        <w:rPr>
          <w:rFonts w:ascii="Times New Roman" w:hAnsi="Times New Roman" w:eastAsia="楷体_GB2312" w:cs="Times New Roman"/>
          <w:b/>
          <w:bCs/>
          <w:sz w:val="32"/>
          <w:szCs w:val="32"/>
        </w:rPr>
        <w:t>平安稳定巩固拓展。</w:t>
      </w:r>
      <w:r>
        <w:rPr>
          <w:rFonts w:ascii="Times New Roman" w:hAnsi="Times New Roman" w:eastAsia="仿宋_GB2312" w:cs="Times New Roman"/>
          <w:sz w:val="32"/>
          <w:szCs w:val="32"/>
        </w:rPr>
        <w:t>扎实开展安全生产“打非治违”行动，严格监管食品药品安全，安全形势总体平稳，公众安全感和满意度持续提升。积极推进信访积案化解攻坚，成功化解信访积案150余起，发展稳定大局不断巩固。</w:t>
      </w:r>
      <w:r>
        <w:rPr>
          <w:rFonts w:ascii="Times New Roman" w:hAnsi="Times New Roman" w:eastAsia="仿宋_GB2312" w:cs="Times New Roman"/>
          <w:sz w:val="32"/>
          <w:szCs w:val="32"/>
          <w:shd w:val="clear" w:color="auto" w:fill="FFFFFF"/>
        </w:rPr>
        <w:t>西塞山区成为全省唯一夺得全国社会治安综合治理最高奖“长安杯”的城区，荣获“全国法治县（市、区）创建活动先进单位”称号。</w:t>
      </w:r>
    </w:p>
    <w:p>
      <w:pPr>
        <w:widowControl w:val="0"/>
        <w:spacing w:line="560" w:lineRule="exact"/>
        <w:ind w:firstLine="640" w:firstLineChars="200"/>
        <w:jc w:val="both"/>
        <w:rPr>
          <w:rFonts w:ascii="Times New Roman" w:hAnsi="Times New Roman" w:eastAsia="仿宋_GB2312" w:cs="Times New Roman"/>
          <w:sz w:val="32"/>
          <w:szCs w:val="32"/>
          <w:shd w:val="clear" w:color="auto" w:fill="FFFFFF"/>
        </w:rPr>
      </w:pPr>
      <w:r>
        <w:rPr>
          <w:rFonts w:ascii="Times New Roman" w:hAnsi="Times New Roman" w:eastAsia="楷体_GB2312" w:cs="Times New Roman"/>
          <w:b/>
          <w:bCs/>
          <w:sz w:val="32"/>
          <w:szCs w:val="32"/>
        </w:rPr>
        <w:t>社会事业</w:t>
      </w:r>
      <w:r>
        <w:rPr>
          <w:rFonts w:hint="eastAsia" w:ascii="Times New Roman" w:hAnsi="Times New Roman" w:eastAsia="楷体_GB2312" w:cs="Times New Roman"/>
          <w:b/>
          <w:bCs/>
          <w:sz w:val="32"/>
          <w:szCs w:val="32"/>
        </w:rPr>
        <w:t>繁荣发展</w:t>
      </w:r>
      <w:r>
        <w:rPr>
          <w:rFonts w:ascii="Times New Roman" w:hAnsi="Times New Roman" w:eastAsia="楷体_GB2312" w:cs="Times New Roman"/>
          <w:b/>
          <w:bCs/>
          <w:sz w:val="32"/>
          <w:szCs w:val="32"/>
        </w:rPr>
        <w:t>。</w:t>
      </w:r>
      <w:r>
        <w:rPr>
          <w:rFonts w:ascii="Times New Roman" w:hAnsi="Times New Roman" w:eastAsia="仿宋_GB2312" w:cs="Times New Roman"/>
          <w:sz w:val="32"/>
          <w:szCs w:val="32"/>
        </w:rPr>
        <w:t>教育强区加快建设，获得“国家义务教育基本均衡县（市、区）”称号。</w:t>
      </w:r>
      <w:r>
        <w:rPr>
          <w:rFonts w:hint="eastAsia" w:ascii="Times New Roman" w:hAnsi="Times New Roman" w:eastAsia="仿宋_GB2312" w:cs="Times New Roman"/>
          <w:sz w:val="32"/>
          <w:szCs w:val="32"/>
        </w:rPr>
        <w:t>健康西塞山建设扎实推进，</w:t>
      </w:r>
      <w:r>
        <w:rPr>
          <w:rFonts w:ascii="Times New Roman" w:hAnsi="Times New Roman" w:eastAsia="仿宋_GB2312" w:cs="Times New Roman"/>
          <w:sz w:val="32"/>
          <w:szCs w:val="32"/>
        </w:rPr>
        <w:t>分级诊疗制度逐步落实</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shd w:val="clear" w:color="auto" w:fill="FFFFFF"/>
        </w:rPr>
        <w:t>国家基本医药制度顺利实施，基层医疗服务机构实现托管全覆盖。</w:t>
      </w:r>
      <w:r>
        <w:rPr>
          <w:rFonts w:hint="eastAsia" w:ascii="Times New Roman" w:hAnsi="Times New Roman" w:eastAsia="仿宋_GB2312" w:cs="Times New Roman"/>
          <w:sz w:val="32"/>
          <w:szCs w:val="32"/>
          <w:shd w:val="clear" w:color="auto" w:fill="FFFFFF"/>
        </w:rPr>
        <w:t>文化体育基础设施不断完善，区公共文化服务中心如期对外开放。文化遗产传承保护扎实推进，摘得“中国端午节俗传承基地”、“中国西塞山端午神舟文化之乡”等国家级授牌。成立全市城区首家非物质文化遗产保护传承中心。建成西塞神舟文化广场。</w:t>
      </w:r>
    </w:p>
    <w:p>
      <w:pPr>
        <w:widowControl w:val="0"/>
        <w:spacing w:line="560" w:lineRule="exact"/>
        <w:ind w:firstLine="640" w:firstLineChars="200"/>
        <w:jc w:val="both"/>
        <w:rPr>
          <w:rFonts w:hint="eastAsia" w:ascii="Times New Roman" w:hAnsi="Times New Roman" w:eastAsia="仿宋_GB2312" w:cs="Times New Roman"/>
          <w:sz w:val="32"/>
          <w:szCs w:val="32"/>
          <w:shd w:val="clear" w:color="auto" w:fill="FFFFFF"/>
        </w:rPr>
      </w:pPr>
      <w:r>
        <w:rPr>
          <w:rFonts w:ascii="Times New Roman" w:hAnsi="Times New Roman" w:eastAsia="楷体_GB2312" w:cs="Times New Roman"/>
          <w:b/>
          <w:bCs/>
          <w:sz w:val="32"/>
          <w:szCs w:val="32"/>
        </w:rPr>
        <w:t>民生福祉不断提升。</w:t>
      </w:r>
      <w:r>
        <w:rPr>
          <w:rFonts w:ascii="Times New Roman" w:hAnsi="Times New Roman" w:eastAsia="仿宋_GB2312" w:cs="Times New Roman"/>
          <w:sz w:val="32"/>
          <w:szCs w:val="32"/>
          <w:shd w:val="clear" w:color="auto" w:fill="FFFFFF"/>
        </w:rPr>
        <w:t>城镇居民人均可支配收入稳步提高，年均增长9.1%。就业创业形势总体稳定，城镇新增就业人数累计5.5万人</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登记失业率控制在4.2%以内</w:t>
      </w:r>
      <w:r>
        <w:rPr>
          <w:rFonts w:hint="eastAsia" w:ascii="Times New Roman" w:hAnsi="Times New Roman" w:eastAsia="仿宋_GB2312" w:cs="Times New Roman"/>
          <w:sz w:val="32"/>
          <w:szCs w:val="32"/>
          <w:shd w:val="clear" w:color="auto" w:fill="FFFFFF"/>
        </w:rPr>
        <w:t>。基本养老保险基本实现全覆盖，参保率达</w:t>
      </w:r>
      <w:r>
        <w:rPr>
          <w:rFonts w:ascii="Times New Roman" w:hAnsi="Times New Roman" w:eastAsia="仿宋_GB2312" w:cs="Times New Roman"/>
          <w:sz w:val="32"/>
          <w:szCs w:val="32"/>
          <w:shd w:val="clear" w:color="auto" w:fill="FFFFFF"/>
        </w:rPr>
        <w:t>98%</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社会救助政策全面落实，累计发放城乡低保金1.54亿元。</w:t>
      </w:r>
      <w:r>
        <w:rPr>
          <w:rFonts w:hint="eastAsia" w:ascii="Times New Roman" w:hAnsi="Times New Roman" w:eastAsia="仿宋_GB2312" w:cs="Times New Roman"/>
          <w:sz w:val="32"/>
          <w:szCs w:val="32"/>
          <w:shd w:val="clear" w:color="auto" w:fill="FFFFFF"/>
        </w:rPr>
        <w:t>养老服务体系不断优化，每千名老年人口养老床位数4</w:t>
      </w:r>
      <w:r>
        <w:rPr>
          <w:rFonts w:ascii="Times New Roman" w:hAnsi="Times New Roman" w:eastAsia="仿宋_GB2312" w:cs="Times New Roman"/>
          <w:sz w:val="32"/>
          <w:szCs w:val="32"/>
          <w:shd w:val="clear" w:color="auto" w:fill="FFFFFF"/>
        </w:rPr>
        <w:t>0</w:t>
      </w:r>
      <w:r>
        <w:rPr>
          <w:rFonts w:hint="eastAsia" w:ascii="Times New Roman" w:hAnsi="Times New Roman" w:eastAsia="仿宋_GB2312" w:cs="Times New Roman"/>
          <w:sz w:val="32"/>
          <w:szCs w:val="32"/>
          <w:shd w:val="clear" w:color="auto" w:fill="FFFFFF"/>
        </w:rPr>
        <w:t>张。</w:t>
      </w:r>
    </w:p>
    <w:p>
      <w:pPr>
        <w:widowControl w:val="0"/>
        <w:spacing w:line="560" w:lineRule="exact"/>
        <w:ind w:firstLine="640" w:firstLineChars="20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十三五”时期，全区各项事业取得了显著成就，为开启全面建设社会主义现代化新征程奠定了坚实基础，但也必须清醒看到，当前，西塞山区经济社会发展中还存在一些短板和弱项：经济总量不够大，发展质量不够高，长江大保护任务艰巨，城市建设欠账较多，民生保障还有不少短板，基层社会治理有薄弱环节。全区必须辩证认识和把握国内外大势，深刻认识西塞山区经济社会发展面临的一系列新特征和新要求，妥善做好应对各种困难局面的准备，保持战略定力，着力在发展质效、动能转换、治理能力上取得突破性进展。</w:t>
      </w:r>
    </w:p>
    <w:p>
      <w:pPr>
        <w:widowControl w:val="0"/>
        <w:spacing w:before="156" w:beforeLines="50" w:line="560" w:lineRule="exact"/>
        <w:jc w:val="center"/>
        <w:rPr>
          <w:rFonts w:ascii="Times New Roman" w:hAnsi="Times New Roman" w:eastAsia="仿宋" w:cs="Times New Roman"/>
          <w:b/>
          <w:bCs/>
          <w:sz w:val="28"/>
          <w:szCs w:val="28"/>
        </w:rPr>
      </w:pPr>
      <w:r>
        <w:rPr>
          <w:rFonts w:ascii="Times New Roman" w:hAnsi="Times New Roman" w:eastAsia="仿宋" w:cs="Times New Roman"/>
          <w:b/>
          <w:bCs/>
          <w:sz w:val="28"/>
          <w:szCs w:val="28"/>
        </w:rPr>
        <w:t>专栏1-1 西塞山区“十三五”规划指标完成情况</w:t>
      </w:r>
    </w:p>
    <w:tbl>
      <w:tblPr>
        <w:tblStyle w:val="10"/>
        <w:tblW w:w="95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561"/>
        <w:gridCol w:w="455"/>
        <w:gridCol w:w="624"/>
        <w:gridCol w:w="671"/>
        <w:gridCol w:w="567"/>
        <w:gridCol w:w="850"/>
        <w:gridCol w:w="851"/>
        <w:gridCol w:w="620"/>
        <w:gridCol w:w="992"/>
        <w:gridCol w:w="992"/>
        <w:gridCol w:w="880"/>
        <w:gridCol w:w="591"/>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tblHeader/>
          <w:jc w:val="center"/>
        </w:trPr>
        <w:tc>
          <w:tcPr>
            <w:tcW w:w="561" w:type="dxa"/>
            <w:vMerge w:val="restart"/>
            <w:noWrap w:val="0"/>
            <w:vAlign w:val="center"/>
          </w:tcPr>
          <w:p>
            <w:pPr>
              <w:spacing w:line="260" w:lineRule="exact"/>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类型</w:t>
            </w:r>
          </w:p>
        </w:tc>
        <w:tc>
          <w:tcPr>
            <w:tcW w:w="455" w:type="dxa"/>
            <w:vMerge w:val="restart"/>
            <w:noWrap w:val="0"/>
            <w:vAlign w:val="center"/>
          </w:tcPr>
          <w:p>
            <w:pPr>
              <w:spacing w:line="260" w:lineRule="exact"/>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序号</w:t>
            </w:r>
          </w:p>
        </w:tc>
        <w:tc>
          <w:tcPr>
            <w:tcW w:w="1295" w:type="dxa"/>
            <w:gridSpan w:val="2"/>
            <w:vMerge w:val="restart"/>
            <w:noWrap w:val="0"/>
            <w:vAlign w:val="center"/>
          </w:tcPr>
          <w:p>
            <w:pPr>
              <w:spacing w:line="260" w:lineRule="exact"/>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指标名称</w:t>
            </w:r>
          </w:p>
        </w:tc>
        <w:tc>
          <w:tcPr>
            <w:tcW w:w="567" w:type="dxa"/>
            <w:vMerge w:val="restart"/>
            <w:noWrap w:val="0"/>
            <w:vAlign w:val="center"/>
          </w:tcPr>
          <w:p>
            <w:pPr>
              <w:spacing w:line="260" w:lineRule="exact"/>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单位</w:t>
            </w:r>
          </w:p>
        </w:tc>
        <w:tc>
          <w:tcPr>
            <w:tcW w:w="850" w:type="dxa"/>
            <w:vMerge w:val="restart"/>
            <w:noWrap w:val="0"/>
            <w:vAlign w:val="center"/>
          </w:tcPr>
          <w:p>
            <w:pPr>
              <w:spacing w:line="260" w:lineRule="exact"/>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2015年</w:t>
            </w:r>
          </w:p>
          <w:p>
            <w:pPr>
              <w:spacing w:line="260" w:lineRule="exact"/>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基数</w:t>
            </w:r>
          </w:p>
        </w:tc>
        <w:tc>
          <w:tcPr>
            <w:tcW w:w="1471" w:type="dxa"/>
            <w:gridSpan w:val="2"/>
            <w:noWrap w:val="0"/>
            <w:vAlign w:val="center"/>
          </w:tcPr>
          <w:p>
            <w:pPr>
              <w:spacing w:line="260" w:lineRule="exact"/>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“十三五”</w:t>
            </w:r>
          </w:p>
          <w:p>
            <w:pPr>
              <w:spacing w:line="260" w:lineRule="exact"/>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规划目标</w:t>
            </w:r>
          </w:p>
        </w:tc>
        <w:tc>
          <w:tcPr>
            <w:tcW w:w="1984" w:type="dxa"/>
            <w:gridSpan w:val="2"/>
            <w:noWrap w:val="0"/>
            <w:vAlign w:val="center"/>
          </w:tcPr>
          <w:p>
            <w:pPr>
              <w:spacing w:line="260" w:lineRule="exact"/>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2016-2019年</w:t>
            </w:r>
          </w:p>
          <w:p>
            <w:pPr>
              <w:spacing w:line="260" w:lineRule="exact"/>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完成情况</w:t>
            </w:r>
          </w:p>
        </w:tc>
        <w:tc>
          <w:tcPr>
            <w:tcW w:w="1471" w:type="dxa"/>
            <w:gridSpan w:val="2"/>
            <w:noWrap w:val="0"/>
            <w:vAlign w:val="center"/>
          </w:tcPr>
          <w:p>
            <w:pPr>
              <w:spacing w:line="260" w:lineRule="exact"/>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“十三五”</w:t>
            </w:r>
          </w:p>
          <w:p>
            <w:pPr>
              <w:spacing w:line="260" w:lineRule="exact"/>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预计完成</w:t>
            </w:r>
          </w:p>
        </w:tc>
        <w:tc>
          <w:tcPr>
            <w:tcW w:w="851" w:type="dxa"/>
            <w:vMerge w:val="restart"/>
            <w:noWrap w:val="0"/>
            <w:vAlign w:val="center"/>
          </w:tcPr>
          <w:p>
            <w:pPr>
              <w:spacing w:line="260" w:lineRule="exact"/>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tblHeader/>
          <w:jc w:val="center"/>
        </w:trPr>
        <w:tc>
          <w:tcPr>
            <w:tcW w:w="561" w:type="dxa"/>
            <w:vMerge w:val="continue"/>
            <w:noWrap w:val="0"/>
            <w:vAlign w:val="center"/>
          </w:tcPr>
          <w:p>
            <w:pPr>
              <w:spacing w:line="260" w:lineRule="exact"/>
              <w:jc w:val="center"/>
              <w:rPr>
                <w:rFonts w:ascii="Times New Roman" w:hAnsi="Times New Roman" w:eastAsia="仿宋_GB2312" w:cs="Times New Roman"/>
                <w:sz w:val="21"/>
                <w:szCs w:val="21"/>
              </w:rPr>
            </w:pPr>
          </w:p>
        </w:tc>
        <w:tc>
          <w:tcPr>
            <w:tcW w:w="455" w:type="dxa"/>
            <w:vMerge w:val="continue"/>
            <w:noWrap w:val="0"/>
            <w:vAlign w:val="center"/>
          </w:tcPr>
          <w:p>
            <w:pPr>
              <w:spacing w:line="260" w:lineRule="exact"/>
              <w:jc w:val="center"/>
              <w:rPr>
                <w:rFonts w:ascii="Times New Roman" w:hAnsi="Times New Roman" w:eastAsia="仿宋_GB2312" w:cs="Times New Roman"/>
                <w:sz w:val="21"/>
                <w:szCs w:val="21"/>
              </w:rPr>
            </w:pPr>
          </w:p>
        </w:tc>
        <w:tc>
          <w:tcPr>
            <w:tcW w:w="1295" w:type="dxa"/>
            <w:gridSpan w:val="2"/>
            <w:vMerge w:val="continue"/>
            <w:noWrap w:val="0"/>
            <w:vAlign w:val="center"/>
          </w:tcPr>
          <w:p>
            <w:pPr>
              <w:spacing w:line="260" w:lineRule="exact"/>
              <w:jc w:val="center"/>
              <w:rPr>
                <w:rFonts w:ascii="Times New Roman" w:hAnsi="Times New Roman" w:eastAsia="仿宋_GB2312" w:cs="Times New Roman"/>
                <w:sz w:val="21"/>
                <w:szCs w:val="21"/>
              </w:rPr>
            </w:pPr>
          </w:p>
        </w:tc>
        <w:tc>
          <w:tcPr>
            <w:tcW w:w="567" w:type="dxa"/>
            <w:vMerge w:val="continue"/>
            <w:noWrap w:val="0"/>
            <w:vAlign w:val="center"/>
          </w:tcPr>
          <w:p>
            <w:pPr>
              <w:spacing w:line="260" w:lineRule="exact"/>
              <w:jc w:val="center"/>
              <w:rPr>
                <w:rFonts w:ascii="Times New Roman" w:hAnsi="Times New Roman" w:eastAsia="仿宋_GB2312" w:cs="Times New Roman"/>
                <w:sz w:val="21"/>
                <w:szCs w:val="21"/>
              </w:rPr>
            </w:pPr>
          </w:p>
        </w:tc>
        <w:tc>
          <w:tcPr>
            <w:tcW w:w="850" w:type="dxa"/>
            <w:vMerge w:val="continue"/>
            <w:noWrap w:val="0"/>
            <w:vAlign w:val="center"/>
          </w:tcPr>
          <w:p>
            <w:pPr>
              <w:spacing w:line="260" w:lineRule="exact"/>
              <w:jc w:val="center"/>
              <w:rPr>
                <w:rFonts w:ascii="Times New Roman" w:hAnsi="Times New Roman" w:eastAsia="仿宋_GB2312" w:cs="Times New Roman"/>
                <w:sz w:val="21"/>
                <w:szCs w:val="21"/>
              </w:rPr>
            </w:pPr>
          </w:p>
        </w:tc>
        <w:tc>
          <w:tcPr>
            <w:tcW w:w="851"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总量</w:t>
            </w:r>
          </w:p>
        </w:tc>
        <w:tc>
          <w:tcPr>
            <w:tcW w:w="620"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年均增长[累计]</w:t>
            </w:r>
          </w:p>
        </w:tc>
        <w:tc>
          <w:tcPr>
            <w:tcW w:w="992" w:type="dxa"/>
            <w:tcBorders>
              <w:right w:val="single" w:color="auto" w:sz="4" w:space="0"/>
            </w:tcBorders>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2019年</w:t>
            </w:r>
          </w:p>
        </w:tc>
        <w:tc>
          <w:tcPr>
            <w:tcW w:w="992" w:type="dxa"/>
            <w:tcBorders>
              <w:left w:val="single" w:color="auto" w:sz="4" w:space="0"/>
            </w:tcBorders>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年均增长[累计]</w:t>
            </w:r>
          </w:p>
        </w:tc>
        <w:tc>
          <w:tcPr>
            <w:tcW w:w="880"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2020年</w:t>
            </w:r>
          </w:p>
        </w:tc>
        <w:tc>
          <w:tcPr>
            <w:tcW w:w="591"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年均增长[累计]</w:t>
            </w:r>
          </w:p>
        </w:tc>
        <w:tc>
          <w:tcPr>
            <w:tcW w:w="851" w:type="dxa"/>
            <w:vMerge w:val="continue"/>
            <w:noWrap w:val="0"/>
            <w:vAlign w:val="center"/>
          </w:tcPr>
          <w:p>
            <w:pPr>
              <w:spacing w:line="260" w:lineRule="exact"/>
              <w:jc w:val="center"/>
              <w:rPr>
                <w:rFonts w:ascii="Times New Roman" w:hAnsi="Times New Roman" w:eastAsia="仿宋_GB2312"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61" w:type="dxa"/>
            <w:vMerge w:val="restart"/>
            <w:noWrap w:val="0"/>
            <w:vAlign w:val="center"/>
          </w:tcPr>
          <w:p>
            <w:pPr>
              <w:spacing w:line="260" w:lineRule="exact"/>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经</w:t>
            </w:r>
          </w:p>
          <w:p>
            <w:pPr>
              <w:spacing w:line="260" w:lineRule="exact"/>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济</w:t>
            </w:r>
          </w:p>
          <w:p>
            <w:pPr>
              <w:spacing w:line="260" w:lineRule="exact"/>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发</w:t>
            </w:r>
          </w:p>
          <w:p>
            <w:pPr>
              <w:spacing w:line="260" w:lineRule="exact"/>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展</w:t>
            </w:r>
          </w:p>
        </w:tc>
        <w:tc>
          <w:tcPr>
            <w:tcW w:w="455"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w:t>
            </w:r>
          </w:p>
        </w:tc>
        <w:tc>
          <w:tcPr>
            <w:tcW w:w="1295" w:type="dxa"/>
            <w:gridSpan w:val="2"/>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地区生产总值(GDP)</w:t>
            </w:r>
          </w:p>
        </w:tc>
        <w:tc>
          <w:tcPr>
            <w:tcW w:w="567"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亿元</w:t>
            </w:r>
          </w:p>
        </w:tc>
        <w:tc>
          <w:tcPr>
            <w:tcW w:w="850"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154</w:t>
            </w:r>
          </w:p>
        </w:tc>
        <w:tc>
          <w:tcPr>
            <w:tcW w:w="851"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300</w:t>
            </w:r>
          </w:p>
        </w:tc>
        <w:tc>
          <w:tcPr>
            <w:tcW w:w="620"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7.5</w:t>
            </w:r>
          </w:p>
        </w:tc>
        <w:tc>
          <w:tcPr>
            <w:tcW w:w="992" w:type="dxa"/>
            <w:tcBorders>
              <w:right w:val="single" w:color="auto" w:sz="4" w:space="0"/>
            </w:tcBorders>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220.07</w:t>
            </w:r>
          </w:p>
        </w:tc>
        <w:tc>
          <w:tcPr>
            <w:tcW w:w="992" w:type="dxa"/>
            <w:tcBorders>
              <w:left w:val="single" w:color="auto" w:sz="4" w:space="0"/>
            </w:tcBorders>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6.63</w:t>
            </w:r>
          </w:p>
        </w:tc>
        <w:tc>
          <w:tcPr>
            <w:tcW w:w="880" w:type="dxa"/>
            <w:noWrap w:val="0"/>
            <w:vAlign w:val="center"/>
          </w:tcPr>
          <w:p>
            <w:pPr>
              <w:spacing w:line="260" w:lineRule="exact"/>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196.11</w:t>
            </w:r>
          </w:p>
        </w:tc>
        <w:tc>
          <w:tcPr>
            <w:tcW w:w="591" w:type="dxa"/>
            <w:noWrap w:val="0"/>
            <w:vAlign w:val="center"/>
          </w:tcPr>
          <w:p>
            <w:pPr>
              <w:spacing w:line="260" w:lineRule="exact"/>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3.58</w:t>
            </w:r>
          </w:p>
        </w:tc>
        <w:tc>
          <w:tcPr>
            <w:tcW w:w="851"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61" w:type="dxa"/>
            <w:vMerge w:val="continue"/>
            <w:noWrap w:val="0"/>
            <w:vAlign w:val="center"/>
          </w:tcPr>
          <w:p>
            <w:pPr>
              <w:spacing w:line="260" w:lineRule="exact"/>
              <w:jc w:val="center"/>
              <w:rPr>
                <w:rFonts w:ascii="Times New Roman" w:hAnsi="Times New Roman" w:eastAsia="仿宋_GB2312" w:cs="Times New Roman"/>
                <w:sz w:val="21"/>
                <w:szCs w:val="21"/>
              </w:rPr>
            </w:pPr>
          </w:p>
        </w:tc>
        <w:tc>
          <w:tcPr>
            <w:tcW w:w="455"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w:t>
            </w:r>
          </w:p>
        </w:tc>
        <w:tc>
          <w:tcPr>
            <w:tcW w:w="1295" w:type="dxa"/>
            <w:gridSpan w:val="2"/>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规模以上工业增加值</w:t>
            </w:r>
          </w:p>
        </w:tc>
        <w:tc>
          <w:tcPr>
            <w:tcW w:w="567"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亿元</w:t>
            </w:r>
          </w:p>
        </w:tc>
        <w:tc>
          <w:tcPr>
            <w:tcW w:w="850"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62</w:t>
            </w:r>
          </w:p>
        </w:tc>
        <w:tc>
          <w:tcPr>
            <w:tcW w:w="851"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120</w:t>
            </w:r>
          </w:p>
        </w:tc>
        <w:tc>
          <w:tcPr>
            <w:tcW w:w="620"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6</w:t>
            </w:r>
          </w:p>
        </w:tc>
        <w:tc>
          <w:tcPr>
            <w:tcW w:w="992" w:type="dxa"/>
            <w:tcBorders>
              <w:right w:val="single" w:color="auto" w:sz="4" w:space="0"/>
            </w:tcBorders>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87.6</w:t>
            </w:r>
          </w:p>
        </w:tc>
        <w:tc>
          <w:tcPr>
            <w:tcW w:w="992" w:type="dxa"/>
            <w:tcBorders>
              <w:left w:val="single" w:color="auto" w:sz="4" w:space="0"/>
            </w:tcBorders>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4.83</w:t>
            </w:r>
          </w:p>
        </w:tc>
        <w:tc>
          <w:tcPr>
            <w:tcW w:w="880" w:type="dxa"/>
            <w:noWrap w:val="0"/>
            <w:vAlign w:val="center"/>
          </w:tcPr>
          <w:p>
            <w:pPr>
              <w:spacing w:line="260" w:lineRule="exact"/>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76.85</w:t>
            </w:r>
          </w:p>
        </w:tc>
        <w:tc>
          <w:tcPr>
            <w:tcW w:w="591" w:type="dxa"/>
            <w:noWrap w:val="0"/>
            <w:vAlign w:val="center"/>
          </w:tcPr>
          <w:p>
            <w:pPr>
              <w:spacing w:line="260" w:lineRule="exact"/>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2.1</w:t>
            </w:r>
          </w:p>
        </w:tc>
        <w:tc>
          <w:tcPr>
            <w:tcW w:w="851"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61" w:type="dxa"/>
            <w:vMerge w:val="continue"/>
            <w:noWrap w:val="0"/>
            <w:vAlign w:val="center"/>
          </w:tcPr>
          <w:p>
            <w:pPr>
              <w:spacing w:line="260" w:lineRule="exact"/>
              <w:jc w:val="center"/>
              <w:rPr>
                <w:rFonts w:ascii="Times New Roman" w:hAnsi="Times New Roman" w:eastAsia="仿宋_GB2312" w:cs="Times New Roman"/>
                <w:sz w:val="21"/>
                <w:szCs w:val="21"/>
              </w:rPr>
            </w:pPr>
          </w:p>
        </w:tc>
        <w:tc>
          <w:tcPr>
            <w:tcW w:w="455"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3</w:t>
            </w:r>
          </w:p>
        </w:tc>
        <w:tc>
          <w:tcPr>
            <w:tcW w:w="1295" w:type="dxa"/>
            <w:gridSpan w:val="2"/>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全社会固定资产投资</w:t>
            </w:r>
          </w:p>
        </w:tc>
        <w:tc>
          <w:tcPr>
            <w:tcW w:w="567"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亿元</w:t>
            </w:r>
          </w:p>
        </w:tc>
        <w:tc>
          <w:tcPr>
            <w:tcW w:w="850"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90</w:t>
            </w:r>
          </w:p>
        </w:tc>
        <w:tc>
          <w:tcPr>
            <w:tcW w:w="851"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189</w:t>
            </w:r>
          </w:p>
        </w:tc>
        <w:tc>
          <w:tcPr>
            <w:tcW w:w="620"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11</w:t>
            </w:r>
          </w:p>
        </w:tc>
        <w:tc>
          <w:tcPr>
            <w:tcW w:w="992" w:type="dxa"/>
            <w:tcBorders>
              <w:right w:val="single" w:color="auto" w:sz="4" w:space="0"/>
            </w:tcBorders>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71.99</w:t>
            </w:r>
          </w:p>
        </w:tc>
        <w:tc>
          <w:tcPr>
            <w:tcW w:w="992" w:type="dxa"/>
            <w:tcBorders>
              <w:left w:val="single" w:color="auto" w:sz="4" w:space="0"/>
            </w:tcBorders>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8.44</w:t>
            </w:r>
          </w:p>
        </w:tc>
        <w:tc>
          <w:tcPr>
            <w:tcW w:w="880" w:type="dxa"/>
            <w:noWrap w:val="0"/>
            <w:vAlign w:val="center"/>
          </w:tcPr>
          <w:p>
            <w:pPr>
              <w:spacing w:line="260" w:lineRule="exact"/>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58.6</w:t>
            </w:r>
          </w:p>
        </w:tc>
        <w:tc>
          <w:tcPr>
            <w:tcW w:w="591" w:type="dxa"/>
            <w:noWrap w:val="0"/>
            <w:vAlign w:val="center"/>
          </w:tcPr>
          <w:p>
            <w:pPr>
              <w:spacing w:line="260" w:lineRule="exact"/>
              <w:jc w:val="center"/>
              <w:rPr>
                <w:rFonts w:hint="default" w:ascii="Times New Roman" w:hAnsi="Times New Roman" w:eastAsia="仿宋_GB2312" w:cs="Times New Roman"/>
                <w:sz w:val="21"/>
                <w:szCs w:val="21"/>
                <w:lang w:val="en-US" w:eastAsia="zh-CN"/>
              </w:rPr>
            </w:pPr>
            <w:r>
              <w:rPr>
                <w:rFonts w:ascii="Times New Roman" w:hAnsi="Times New Roman" w:eastAsia="仿宋_GB2312" w:cs="Times New Roman"/>
                <w:sz w:val="21"/>
                <w:szCs w:val="21"/>
              </w:rPr>
              <w:t>2.</w:t>
            </w:r>
            <w:r>
              <w:rPr>
                <w:rFonts w:hint="eastAsia" w:ascii="Times New Roman" w:hAnsi="Times New Roman" w:eastAsia="仿宋_GB2312" w:cs="Times New Roman"/>
                <w:sz w:val="21"/>
                <w:szCs w:val="21"/>
                <w:lang w:val="en-US" w:eastAsia="zh-CN"/>
              </w:rPr>
              <w:t>39</w:t>
            </w:r>
          </w:p>
        </w:tc>
        <w:tc>
          <w:tcPr>
            <w:tcW w:w="851"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61" w:type="dxa"/>
            <w:vMerge w:val="continue"/>
            <w:noWrap w:val="0"/>
            <w:vAlign w:val="center"/>
          </w:tcPr>
          <w:p>
            <w:pPr>
              <w:spacing w:line="260" w:lineRule="exact"/>
              <w:jc w:val="center"/>
              <w:rPr>
                <w:rFonts w:ascii="Times New Roman" w:hAnsi="Times New Roman" w:eastAsia="仿宋_GB2312" w:cs="Times New Roman"/>
                <w:sz w:val="21"/>
                <w:szCs w:val="21"/>
              </w:rPr>
            </w:pPr>
          </w:p>
        </w:tc>
        <w:tc>
          <w:tcPr>
            <w:tcW w:w="455"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4</w:t>
            </w:r>
          </w:p>
        </w:tc>
        <w:tc>
          <w:tcPr>
            <w:tcW w:w="1295" w:type="dxa"/>
            <w:gridSpan w:val="2"/>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地方一般公共预算收入</w:t>
            </w:r>
          </w:p>
        </w:tc>
        <w:tc>
          <w:tcPr>
            <w:tcW w:w="567"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亿元</w:t>
            </w:r>
          </w:p>
        </w:tc>
        <w:tc>
          <w:tcPr>
            <w:tcW w:w="850"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7.26</w:t>
            </w:r>
          </w:p>
        </w:tc>
        <w:tc>
          <w:tcPr>
            <w:tcW w:w="851"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14.6</w:t>
            </w:r>
          </w:p>
        </w:tc>
        <w:tc>
          <w:tcPr>
            <w:tcW w:w="620"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7</w:t>
            </w:r>
          </w:p>
        </w:tc>
        <w:tc>
          <w:tcPr>
            <w:tcW w:w="992" w:type="dxa"/>
            <w:tcBorders>
              <w:right w:val="single" w:color="auto" w:sz="4" w:space="0"/>
            </w:tcBorders>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7.14</w:t>
            </w:r>
          </w:p>
        </w:tc>
        <w:tc>
          <w:tcPr>
            <w:tcW w:w="992" w:type="dxa"/>
            <w:tcBorders>
              <w:left w:val="single" w:color="auto" w:sz="4" w:space="0"/>
            </w:tcBorders>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-0.41</w:t>
            </w:r>
          </w:p>
        </w:tc>
        <w:tc>
          <w:tcPr>
            <w:tcW w:w="880"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5.28</w:t>
            </w:r>
          </w:p>
        </w:tc>
        <w:tc>
          <w:tcPr>
            <w:tcW w:w="591" w:type="dxa"/>
            <w:noWrap w:val="0"/>
            <w:vAlign w:val="center"/>
          </w:tcPr>
          <w:p>
            <w:pPr>
              <w:spacing w:line="260" w:lineRule="exact"/>
              <w:jc w:val="center"/>
              <w:rPr>
                <w:rFonts w:hint="default" w:ascii="Times New Roman" w:hAnsi="Times New Roman" w:eastAsia="仿宋_GB2312" w:cs="Times New Roman"/>
                <w:sz w:val="21"/>
                <w:szCs w:val="21"/>
                <w:lang w:val="en-US" w:eastAsia="zh-CN"/>
              </w:rPr>
            </w:pPr>
            <w:r>
              <w:rPr>
                <w:rFonts w:ascii="Times New Roman" w:hAnsi="Times New Roman" w:eastAsia="仿宋_GB2312" w:cs="Times New Roman"/>
                <w:sz w:val="21"/>
                <w:szCs w:val="21"/>
              </w:rPr>
              <w:t>-6.</w:t>
            </w:r>
            <w:r>
              <w:rPr>
                <w:rFonts w:hint="eastAsia" w:ascii="Times New Roman" w:hAnsi="Times New Roman" w:eastAsia="仿宋_GB2312" w:cs="Times New Roman"/>
                <w:sz w:val="21"/>
                <w:szCs w:val="21"/>
                <w:lang w:val="en-US" w:eastAsia="zh-CN"/>
              </w:rPr>
              <w:t>15</w:t>
            </w:r>
          </w:p>
        </w:tc>
        <w:tc>
          <w:tcPr>
            <w:tcW w:w="851"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61" w:type="dxa"/>
            <w:vMerge w:val="continue"/>
            <w:noWrap w:val="0"/>
            <w:vAlign w:val="center"/>
          </w:tcPr>
          <w:p>
            <w:pPr>
              <w:spacing w:line="260" w:lineRule="exact"/>
              <w:jc w:val="center"/>
              <w:rPr>
                <w:rFonts w:ascii="Times New Roman" w:hAnsi="Times New Roman" w:eastAsia="仿宋_GB2312" w:cs="Times New Roman"/>
                <w:sz w:val="21"/>
                <w:szCs w:val="21"/>
              </w:rPr>
            </w:pPr>
          </w:p>
        </w:tc>
        <w:tc>
          <w:tcPr>
            <w:tcW w:w="455"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5</w:t>
            </w:r>
          </w:p>
        </w:tc>
        <w:tc>
          <w:tcPr>
            <w:tcW w:w="1295" w:type="dxa"/>
            <w:gridSpan w:val="2"/>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社会消费品零售总额</w:t>
            </w:r>
          </w:p>
        </w:tc>
        <w:tc>
          <w:tcPr>
            <w:tcW w:w="567"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亿元</w:t>
            </w:r>
          </w:p>
        </w:tc>
        <w:tc>
          <w:tcPr>
            <w:tcW w:w="850"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82</w:t>
            </w:r>
          </w:p>
        </w:tc>
        <w:tc>
          <w:tcPr>
            <w:tcW w:w="851"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145</w:t>
            </w:r>
          </w:p>
        </w:tc>
        <w:tc>
          <w:tcPr>
            <w:tcW w:w="620" w:type="dxa"/>
            <w:noWrap w:val="0"/>
            <w:vAlign w:val="center"/>
          </w:tcPr>
          <w:p>
            <w:pPr>
              <w:jc w:val="center"/>
              <w:textAlignment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12</w:t>
            </w:r>
          </w:p>
        </w:tc>
        <w:tc>
          <w:tcPr>
            <w:tcW w:w="992" w:type="dxa"/>
            <w:tcBorders>
              <w:right w:val="single" w:color="auto" w:sz="4" w:space="0"/>
            </w:tcBorders>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90.07</w:t>
            </w:r>
          </w:p>
        </w:tc>
        <w:tc>
          <w:tcPr>
            <w:tcW w:w="992" w:type="dxa"/>
            <w:tcBorders>
              <w:left w:val="single" w:color="auto" w:sz="4" w:space="0"/>
            </w:tcBorders>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10.92</w:t>
            </w:r>
          </w:p>
        </w:tc>
        <w:tc>
          <w:tcPr>
            <w:tcW w:w="880" w:type="dxa"/>
            <w:noWrap w:val="0"/>
            <w:vAlign w:val="center"/>
          </w:tcPr>
          <w:p>
            <w:pPr>
              <w:spacing w:line="260" w:lineRule="exact"/>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74.9</w:t>
            </w:r>
          </w:p>
        </w:tc>
        <w:tc>
          <w:tcPr>
            <w:tcW w:w="591" w:type="dxa"/>
            <w:noWrap w:val="0"/>
            <w:vAlign w:val="center"/>
          </w:tcPr>
          <w:p>
            <w:pPr>
              <w:spacing w:line="260" w:lineRule="exact"/>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1.96</w:t>
            </w:r>
          </w:p>
        </w:tc>
        <w:tc>
          <w:tcPr>
            <w:tcW w:w="851"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61" w:type="dxa"/>
            <w:vMerge w:val="continue"/>
            <w:noWrap w:val="0"/>
            <w:vAlign w:val="center"/>
          </w:tcPr>
          <w:p>
            <w:pPr>
              <w:spacing w:line="260" w:lineRule="exact"/>
              <w:jc w:val="center"/>
              <w:rPr>
                <w:rFonts w:ascii="Times New Roman" w:hAnsi="Times New Roman" w:eastAsia="仿宋_GB2312" w:cs="Times New Roman"/>
                <w:sz w:val="21"/>
                <w:szCs w:val="21"/>
              </w:rPr>
            </w:pPr>
          </w:p>
        </w:tc>
        <w:tc>
          <w:tcPr>
            <w:tcW w:w="455"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6</w:t>
            </w:r>
          </w:p>
        </w:tc>
        <w:tc>
          <w:tcPr>
            <w:tcW w:w="1295" w:type="dxa"/>
            <w:gridSpan w:val="2"/>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出口总额（万美元）</w:t>
            </w:r>
          </w:p>
        </w:tc>
        <w:tc>
          <w:tcPr>
            <w:tcW w:w="567"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850"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39000</w:t>
            </w:r>
          </w:p>
        </w:tc>
        <w:tc>
          <w:tcPr>
            <w:tcW w:w="851"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62800</w:t>
            </w:r>
          </w:p>
        </w:tc>
        <w:tc>
          <w:tcPr>
            <w:tcW w:w="620" w:type="dxa"/>
            <w:noWrap w:val="0"/>
            <w:vAlign w:val="center"/>
          </w:tcPr>
          <w:p>
            <w:pPr>
              <w:jc w:val="center"/>
              <w:textAlignment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8</w:t>
            </w:r>
          </w:p>
        </w:tc>
        <w:tc>
          <w:tcPr>
            <w:tcW w:w="992" w:type="dxa"/>
            <w:tcBorders>
              <w:right w:val="single" w:color="auto" w:sz="4" w:space="0"/>
            </w:tcBorders>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53824</w:t>
            </w:r>
          </w:p>
        </w:tc>
        <w:tc>
          <w:tcPr>
            <w:tcW w:w="992" w:type="dxa"/>
            <w:tcBorders>
              <w:left w:val="single" w:color="auto" w:sz="4" w:space="0"/>
            </w:tcBorders>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11.91</w:t>
            </w:r>
          </w:p>
        </w:tc>
        <w:tc>
          <w:tcPr>
            <w:tcW w:w="880" w:type="dxa"/>
            <w:noWrap w:val="0"/>
            <w:vAlign w:val="center"/>
          </w:tcPr>
          <w:p>
            <w:pPr>
              <w:spacing w:line="260" w:lineRule="exact"/>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33971</w:t>
            </w:r>
          </w:p>
        </w:tc>
        <w:tc>
          <w:tcPr>
            <w:tcW w:w="591" w:type="dxa"/>
            <w:noWrap w:val="0"/>
            <w:vAlign w:val="center"/>
          </w:tcPr>
          <w:p>
            <w:pPr>
              <w:spacing w:line="260" w:lineRule="exact"/>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3.91</w:t>
            </w:r>
          </w:p>
        </w:tc>
        <w:tc>
          <w:tcPr>
            <w:tcW w:w="851"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61" w:type="dxa"/>
            <w:vMerge w:val="restart"/>
            <w:noWrap w:val="0"/>
            <w:vAlign w:val="center"/>
          </w:tcPr>
          <w:p>
            <w:pPr>
              <w:spacing w:line="260" w:lineRule="exact"/>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创</w:t>
            </w:r>
          </w:p>
          <w:p>
            <w:pPr>
              <w:spacing w:line="260" w:lineRule="exact"/>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新</w:t>
            </w:r>
          </w:p>
          <w:p>
            <w:pPr>
              <w:spacing w:line="260" w:lineRule="exact"/>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驱</w:t>
            </w:r>
          </w:p>
          <w:p>
            <w:pPr>
              <w:spacing w:line="260" w:lineRule="exact"/>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动</w:t>
            </w:r>
          </w:p>
        </w:tc>
        <w:tc>
          <w:tcPr>
            <w:tcW w:w="455"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7</w:t>
            </w:r>
          </w:p>
        </w:tc>
        <w:tc>
          <w:tcPr>
            <w:tcW w:w="1295" w:type="dxa"/>
            <w:gridSpan w:val="2"/>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三次产业增加值比重</w:t>
            </w:r>
          </w:p>
        </w:tc>
        <w:tc>
          <w:tcPr>
            <w:tcW w:w="567" w:type="dxa"/>
            <w:noWrap w:val="0"/>
            <w:vAlign w:val="center"/>
          </w:tcPr>
          <w:p>
            <w:pPr>
              <w:jc w:val="center"/>
              <w:rPr>
                <w:rFonts w:ascii="Times New Roman" w:hAnsi="Times New Roman" w:eastAsia="仿宋_GB2312" w:cs="Times New Roman"/>
                <w:sz w:val="21"/>
                <w:szCs w:val="21"/>
              </w:rPr>
            </w:pPr>
          </w:p>
        </w:tc>
        <w:tc>
          <w:tcPr>
            <w:tcW w:w="850"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0.5:58.5</w:t>
            </w:r>
          </w:p>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:41</w:t>
            </w:r>
          </w:p>
        </w:tc>
        <w:tc>
          <w:tcPr>
            <w:tcW w:w="851"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1:54:45</w:t>
            </w:r>
          </w:p>
        </w:tc>
        <w:tc>
          <w:tcPr>
            <w:tcW w:w="620"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992" w:type="dxa"/>
            <w:tcBorders>
              <w:right w:val="single" w:color="auto" w:sz="4" w:space="0"/>
            </w:tcBorders>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0.63:55.49</w:t>
            </w:r>
          </w:p>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:43.88</w:t>
            </w:r>
          </w:p>
        </w:tc>
        <w:tc>
          <w:tcPr>
            <w:tcW w:w="992" w:type="dxa"/>
            <w:tcBorders>
              <w:left w:val="single" w:color="auto" w:sz="4" w:space="0"/>
            </w:tcBorders>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880" w:type="dxa"/>
            <w:noWrap w:val="0"/>
            <w:vAlign w:val="center"/>
          </w:tcPr>
          <w:p>
            <w:pPr>
              <w:spacing w:line="260" w:lineRule="exact"/>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0.28</w:t>
            </w:r>
            <w:r>
              <w:rPr>
                <w:rFonts w:ascii="Times New Roman" w:hAnsi="Times New Roman" w:eastAsia="仿宋_GB2312" w:cs="Times New Roman"/>
                <w:sz w:val="21"/>
                <w:szCs w:val="21"/>
              </w:rPr>
              <w:t>:</w:t>
            </w:r>
            <w:r>
              <w:rPr>
                <w:rFonts w:hint="eastAsia" w:ascii="Times New Roman" w:hAnsi="Times New Roman" w:eastAsia="仿宋_GB2312" w:cs="Times New Roman"/>
                <w:sz w:val="21"/>
                <w:szCs w:val="21"/>
                <w:lang w:val="en-US" w:eastAsia="zh-CN"/>
              </w:rPr>
              <w:t>54.71</w:t>
            </w:r>
            <w:r>
              <w:rPr>
                <w:rFonts w:ascii="Times New Roman" w:hAnsi="Times New Roman" w:eastAsia="仿宋_GB2312" w:cs="Times New Roman"/>
                <w:sz w:val="21"/>
                <w:szCs w:val="21"/>
              </w:rPr>
              <w:t>5:</w:t>
            </w:r>
            <w:r>
              <w:rPr>
                <w:rFonts w:hint="eastAsia" w:ascii="Times New Roman" w:hAnsi="Times New Roman" w:eastAsia="仿宋_GB2312" w:cs="Times New Roman"/>
                <w:sz w:val="21"/>
                <w:szCs w:val="21"/>
                <w:lang w:val="en-US" w:eastAsia="zh-CN"/>
              </w:rPr>
              <w:t>45.01</w:t>
            </w:r>
          </w:p>
        </w:tc>
        <w:tc>
          <w:tcPr>
            <w:tcW w:w="591"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851"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61" w:type="dxa"/>
            <w:vMerge w:val="continue"/>
            <w:noWrap w:val="0"/>
            <w:vAlign w:val="center"/>
          </w:tcPr>
          <w:p>
            <w:pPr>
              <w:spacing w:line="260" w:lineRule="exact"/>
              <w:jc w:val="center"/>
              <w:rPr>
                <w:rFonts w:ascii="Times New Roman" w:hAnsi="Times New Roman" w:eastAsia="仿宋_GB2312" w:cs="Times New Roman"/>
                <w:sz w:val="21"/>
                <w:szCs w:val="21"/>
              </w:rPr>
            </w:pPr>
          </w:p>
        </w:tc>
        <w:tc>
          <w:tcPr>
            <w:tcW w:w="455"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8</w:t>
            </w:r>
          </w:p>
        </w:tc>
        <w:tc>
          <w:tcPr>
            <w:tcW w:w="1295" w:type="dxa"/>
            <w:gridSpan w:val="2"/>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R&amp;D占GDP比重（%）</w:t>
            </w:r>
          </w:p>
        </w:tc>
        <w:tc>
          <w:tcPr>
            <w:tcW w:w="567"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850"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2.8</w:t>
            </w:r>
          </w:p>
        </w:tc>
        <w:tc>
          <w:tcPr>
            <w:tcW w:w="851"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3</w:t>
            </w:r>
          </w:p>
        </w:tc>
        <w:tc>
          <w:tcPr>
            <w:tcW w:w="620"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992" w:type="dxa"/>
            <w:tcBorders>
              <w:right w:val="single" w:color="auto" w:sz="4" w:space="0"/>
            </w:tcBorders>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4.2</w:t>
            </w:r>
          </w:p>
        </w:tc>
        <w:tc>
          <w:tcPr>
            <w:tcW w:w="992" w:type="dxa"/>
            <w:tcBorders>
              <w:left w:val="single" w:color="auto" w:sz="4" w:space="0"/>
            </w:tcBorders>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880"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3</w:t>
            </w:r>
          </w:p>
        </w:tc>
        <w:tc>
          <w:tcPr>
            <w:tcW w:w="591"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851"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61" w:type="dxa"/>
            <w:vMerge w:val="continue"/>
            <w:noWrap w:val="0"/>
            <w:vAlign w:val="center"/>
          </w:tcPr>
          <w:p>
            <w:pPr>
              <w:spacing w:line="260" w:lineRule="exact"/>
              <w:jc w:val="center"/>
              <w:rPr>
                <w:rFonts w:ascii="Times New Roman" w:hAnsi="Times New Roman" w:eastAsia="仿宋_GB2312" w:cs="Times New Roman"/>
                <w:sz w:val="21"/>
                <w:szCs w:val="21"/>
              </w:rPr>
            </w:pPr>
          </w:p>
        </w:tc>
        <w:tc>
          <w:tcPr>
            <w:tcW w:w="455"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9</w:t>
            </w:r>
          </w:p>
        </w:tc>
        <w:tc>
          <w:tcPr>
            <w:tcW w:w="1295" w:type="dxa"/>
            <w:gridSpan w:val="2"/>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高新技术产业增加值占GDP比重</w:t>
            </w:r>
          </w:p>
        </w:tc>
        <w:tc>
          <w:tcPr>
            <w:tcW w:w="567"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850"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5.7</w:t>
            </w:r>
          </w:p>
        </w:tc>
        <w:tc>
          <w:tcPr>
            <w:tcW w:w="851"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15</w:t>
            </w:r>
          </w:p>
        </w:tc>
        <w:tc>
          <w:tcPr>
            <w:tcW w:w="620" w:type="dxa"/>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992" w:type="dxa"/>
            <w:tcBorders>
              <w:right w:val="single" w:color="auto" w:sz="4" w:space="0"/>
            </w:tcBorders>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22.9</w:t>
            </w:r>
          </w:p>
        </w:tc>
        <w:tc>
          <w:tcPr>
            <w:tcW w:w="992" w:type="dxa"/>
            <w:tcBorders>
              <w:left w:val="single" w:color="auto" w:sz="4" w:space="0"/>
            </w:tcBorders>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880" w:type="dxa"/>
            <w:noWrap w:val="0"/>
            <w:vAlign w:val="center"/>
          </w:tcPr>
          <w:p>
            <w:pPr>
              <w:spacing w:line="260" w:lineRule="exact"/>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24.1</w:t>
            </w:r>
          </w:p>
        </w:tc>
        <w:tc>
          <w:tcPr>
            <w:tcW w:w="591"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851"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61" w:type="dxa"/>
            <w:vMerge w:val="restart"/>
            <w:noWrap w:val="0"/>
            <w:vAlign w:val="center"/>
          </w:tcPr>
          <w:p>
            <w:pPr>
              <w:spacing w:line="260" w:lineRule="exact"/>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民</w:t>
            </w:r>
          </w:p>
          <w:p>
            <w:pPr>
              <w:spacing w:line="260" w:lineRule="exact"/>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生</w:t>
            </w:r>
          </w:p>
          <w:p>
            <w:pPr>
              <w:spacing w:line="260" w:lineRule="exact"/>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改</w:t>
            </w:r>
          </w:p>
          <w:p>
            <w:pPr>
              <w:spacing w:line="260" w:lineRule="exact"/>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善</w:t>
            </w:r>
          </w:p>
        </w:tc>
        <w:tc>
          <w:tcPr>
            <w:tcW w:w="455"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10</w:t>
            </w:r>
          </w:p>
        </w:tc>
        <w:tc>
          <w:tcPr>
            <w:tcW w:w="1295" w:type="dxa"/>
            <w:gridSpan w:val="2"/>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年末常住人口总数</w:t>
            </w:r>
          </w:p>
        </w:tc>
        <w:tc>
          <w:tcPr>
            <w:tcW w:w="567"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万人</w:t>
            </w:r>
          </w:p>
        </w:tc>
        <w:tc>
          <w:tcPr>
            <w:tcW w:w="850"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23.76</w:t>
            </w:r>
          </w:p>
        </w:tc>
        <w:tc>
          <w:tcPr>
            <w:tcW w:w="851"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24.2</w:t>
            </w:r>
          </w:p>
        </w:tc>
        <w:tc>
          <w:tcPr>
            <w:tcW w:w="620" w:type="dxa"/>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992" w:type="dxa"/>
            <w:tcBorders>
              <w:right w:val="single" w:color="auto" w:sz="4" w:space="0"/>
            </w:tcBorders>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22.8</w:t>
            </w:r>
          </w:p>
        </w:tc>
        <w:tc>
          <w:tcPr>
            <w:tcW w:w="992" w:type="dxa"/>
            <w:tcBorders>
              <w:left w:val="single" w:color="auto" w:sz="4" w:space="0"/>
            </w:tcBorders>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880"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19.5</w:t>
            </w:r>
          </w:p>
        </w:tc>
        <w:tc>
          <w:tcPr>
            <w:tcW w:w="591"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851"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61" w:type="dxa"/>
            <w:vMerge w:val="continue"/>
            <w:noWrap w:val="0"/>
            <w:vAlign w:val="center"/>
          </w:tcPr>
          <w:p>
            <w:pPr>
              <w:spacing w:line="260" w:lineRule="exact"/>
              <w:jc w:val="center"/>
              <w:rPr>
                <w:rFonts w:ascii="Times New Roman" w:hAnsi="Times New Roman" w:eastAsia="仿宋_GB2312" w:cs="Times New Roman"/>
                <w:sz w:val="21"/>
                <w:szCs w:val="21"/>
              </w:rPr>
            </w:pPr>
          </w:p>
        </w:tc>
        <w:tc>
          <w:tcPr>
            <w:tcW w:w="455" w:type="dxa"/>
            <w:tcBorders>
              <w:bottom w:val="single" w:color="auto" w:sz="4" w:space="0"/>
            </w:tcBorders>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11</w:t>
            </w:r>
          </w:p>
        </w:tc>
        <w:tc>
          <w:tcPr>
            <w:tcW w:w="1295" w:type="dxa"/>
            <w:gridSpan w:val="2"/>
            <w:tcBorders>
              <w:bottom w:val="single" w:color="auto" w:sz="4" w:space="0"/>
            </w:tcBorders>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城镇居民人均可支配收入</w:t>
            </w:r>
          </w:p>
        </w:tc>
        <w:tc>
          <w:tcPr>
            <w:tcW w:w="567"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万元</w:t>
            </w:r>
          </w:p>
        </w:tc>
        <w:tc>
          <w:tcPr>
            <w:tcW w:w="850"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2.47</w:t>
            </w:r>
          </w:p>
        </w:tc>
        <w:tc>
          <w:tcPr>
            <w:tcW w:w="851"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4.17</w:t>
            </w:r>
          </w:p>
        </w:tc>
        <w:tc>
          <w:tcPr>
            <w:tcW w:w="620"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11</w:t>
            </w:r>
          </w:p>
        </w:tc>
        <w:tc>
          <w:tcPr>
            <w:tcW w:w="992" w:type="dxa"/>
            <w:tcBorders>
              <w:right w:val="single" w:color="auto" w:sz="4" w:space="0"/>
            </w:tcBorders>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3.5</w:t>
            </w:r>
          </w:p>
        </w:tc>
        <w:tc>
          <w:tcPr>
            <w:tcW w:w="992" w:type="dxa"/>
            <w:tcBorders>
              <w:left w:val="single" w:color="auto" w:sz="4" w:space="0"/>
            </w:tcBorders>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9.58</w:t>
            </w:r>
          </w:p>
        </w:tc>
        <w:tc>
          <w:tcPr>
            <w:tcW w:w="880" w:type="dxa"/>
            <w:noWrap w:val="0"/>
            <w:vAlign w:val="center"/>
          </w:tcPr>
          <w:p>
            <w:pPr>
              <w:spacing w:line="260" w:lineRule="exact"/>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-1.1</w:t>
            </w:r>
          </w:p>
        </w:tc>
        <w:tc>
          <w:tcPr>
            <w:tcW w:w="591"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851"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61" w:type="dxa"/>
            <w:vMerge w:val="continue"/>
            <w:noWrap w:val="0"/>
            <w:vAlign w:val="center"/>
          </w:tcPr>
          <w:p>
            <w:pPr>
              <w:spacing w:line="260" w:lineRule="exact"/>
              <w:jc w:val="center"/>
              <w:textAlignment w:val="center"/>
              <w:rPr>
                <w:rFonts w:ascii="Times New Roman" w:hAnsi="Times New Roman" w:eastAsia="仿宋_GB2312" w:cs="Times New Roman"/>
                <w:sz w:val="21"/>
                <w:szCs w:val="21"/>
              </w:rPr>
            </w:pPr>
          </w:p>
        </w:tc>
        <w:tc>
          <w:tcPr>
            <w:tcW w:w="455" w:type="dxa"/>
            <w:tcBorders>
              <w:top w:val="single" w:color="auto" w:sz="4" w:space="0"/>
            </w:tcBorders>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12</w:t>
            </w:r>
          </w:p>
        </w:tc>
        <w:tc>
          <w:tcPr>
            <w:tcW w:w="1295" w:type="dxa"/>
            <w:gridSpan w:val="2"/>
            <w:tcBorders>
              <w:top w:val="single" w:color="auto" w:sz="4" w:space="0"/>
            </w:tcBorders>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城镇新增就业人数</w:t>
            </w:r>
          </w:p>
        </w:tc>
        <w:tc>
          <w:tcPr>
            <w:tcW w:w="567"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万人</w:t>
            </w:r>
          </w:p>
        </w:tc>
        <w:tc>
          <w:tcPr>
            <w:tcW w:w="850"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1.18</w:t>
            </w:r>
          </w:p>
        </w:tc>
        <w:tc>
          <w:tcPr>
            <w:tcW w:w="851"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1.2</w:t>
            </w:r>
          </w:p>
        </w:tc>
        <w:tc>
          <w:tcPr>
            <w:tcW w:w="620"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992" w:type="dxa"/>
            <w:tcBorders>
              <w:right w:val="single" w:color="auto" w:sz="4" w:space="0"/>
            </w:tcBorders>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4.93</w:t>
            </w:r>
          </w:p>
        </w:tc>
        <w:tc>
          <w:tcPr>
            <w:tcW w:w="992" w:type="dxa"/>
            <w:tcBorders>
              <w:left w:val="single" w:color="auto" w:sz="4" w:space="0"/>
            </w:tcBorders>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880"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5.53</w:t>
            </w:r>
          </w:p>
        </w:tc>
        <w:tc>
          <w:tcPr>
            <w:tcW w:w="591"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851"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61" w:type="dxa"/>
            <w:vMerge w:val="continue"/>
            <w:noWrap w:val="0"/>
            <w:vAlign w:val="center"/>
          </w:tcPr>
          <w:p>
            <w:pPr>
              <w:spacing w:line="260" w:lineRule="exact"/>
              <w:jc w:val="center"/>
              <w:rPr>
                <w:rFonts w:ascii="Times New Roman" w:hAnsi="Times New Roman" w:eastAsia="仿宋_GB2312" w:cs="Times New Roman"/>
                <w:sz w:val="21"/>
                <w:szCs w:val="21"/>
              </w:rPr>
            </w:pPr>
          </w:p>
        </w:tc>
        <w:tc>
          <w:tcPr>
            <w:tcW w:w="455"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13</w:t>
            </w:r>
          </w:p>
        </w:tc>
        <w:tc>
          <w:tcPr>
            <w:tcW w:w="1295" w:type="dxa"/>
            <w:gridSpan w:val="2"/>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城镇基本医疗保险参保人数</w:t>
            </w:r>
          </w:p>
        </w:tc>
        <w:tc>
          <w:tcPr>
            <w:tcW w:w="567"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万人</w:t>
            </w:r>
          </w:p>
        </w:tc>
        <w:tc>
          <w:tcPr>
            <w:tcW w:w="850"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4</w:t>
            </w:r>
          </w:p>
        </w:tc>
        <w:tc>
          <w:tcPr>
            <w:tcW w:w="851"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4.6</w:t>
            </w:r>
          </w:p>
        </w:tc>
        <w:tc>
          <w:tcPr>
            <w:tcW w:w="620"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992" w:type="dxa"/>
            <w:tcBorders>
              <w:right w:val="single" w:color="auto" w:sz="4" w:space="0"/>
            </w:tcBorders>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5.7</w:t>
            </w:r>
          </w:p>
        </w:tc>
        <w:tc>
          <w:tcPr>
            <w:tcW w:w="992" w:type="dxa"/>
            <w:tcBorders>
              <w:left w:val="single" w:color="auto" w:sz="4" w:space="0"/>
            </w:tcBorders>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880"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5.9</w:t>
            </w:r>
          </w:p>
        </w:tc>
        <w:tc>
          <w:tcPr>
            <w:tcW w:w="591"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851"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61" w:type="dxa"/>
            <w:vMerge w:val="continue"/>
            <w:noWrap w:val="0"/>
            <w:vAlign w:val="center"/>
          </w:tcPr>
          <w:p>
            <w:pPr>
              <w:spacing w:line="260" w:lineRule="exact"/>
              <w:jc w:val="center"/>
              <w:rPr>
                <w:rFonts w:ascii="Times New Roman" w:hAnsi="Times New Roman" w:eastAsia="仿宋_GB2312" w:cs="Times New Roman"/>
                <w:sz w:val="21"/>
                <w:szCs w:val="21"/>
              </w:rPr>
            </w:pPr>
          </w:p>
        </w:tc>
        <w:tc>
          <w:tcPr>
            <w:tcW w:w="455"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14</w:t>
            </w:r>
          </w:p>
        </w:tc>
        <w:tc>
          <w:tcPr>
            <w:tcW w:w="1295" w:type="dxa"/>
            <w:gridSpan w:val="2"/>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基本养老保险参保率</w:t>
            </w:r>
          </w:p>
        </w:tc>
        <w:tc>
          <w:tcPr>
            <w:tcW w:w="567"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850"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95</w:t>
            </w:r>
          </w:p>
        </w:tc>
        <w:tc>
          <w:tcPr>
            <w:tcW w:w="851"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98</w:t>
            </w:r>
          </w:p>
        </w:tc>
        <w:tc>
          <w:tcPr>
            <w:tcW w:w="620"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992" w:type="dxa"/>
            <w:tcBorders>
              <w:right w:val="single" w:color="auto" w:sz="4" w:space="0"/>
            </w:tcBorders>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97.2</w:t>
            </w:r>
          </w:p>
        </w:tc>
        <w:tc>
          <w:tcPr>
            <w:tcW w:w="992" w:type="dxa"/>
            <w:tcBorders>
              <w:left w:val="single" w:color="auto" w:sz="4" w:space="0"/>
            </w:tcBorders>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880"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98</w:t>
            </w:r>
          </w:p>
        </w:tc>
        <w:tc>
          <w:tcPr>
            <w:tcW w:w="591"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851"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61" w:type="dxa"/>
            <w:vMerge w:val="continue"/>
            <w:noWrap w:val="0"/>
            <w:vAlign w:val="center"/>
          </w:tcPr>
          <w:p>
            <w:pPr>
              <w:spacing w:line="260" w:lineRule="exact"/>
              <w:jc w:val="center"/>
              <w:rPr>
                <w:rFonts w:ascii="Times New Roman" w:hAnsi="Times New Roman" w:eastAsia="仿宋_GB2312" w:cs="Times New Roman"/>
                <w:sz w:val="21"/>
                <w:szCs w:val="21"/>
              </w:rPr>
            </w:pPr>
          </w:p>
        </w:tc>
        <w:tc>
          <w:tcPr>
            <w:tcW w:w="455"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15</w:t>
            </w:r>
          </w:p>
        </w:tc>
        <w:tc>
          <w:tcPr>
            <w:tcW w:w="1295" w:type="dxa"/>
            <w:gridSpan w:val="2"/>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每千名老年人口养老床位数</w:t>
            </w:r>
          </w:p>
        </w:tc>
        <w:tc>
          <w:tcPr>
            <w:tcW w:w="567"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（张）</w:t>
            </w:r>
          </w:p>
        </w:tc>
        <w:tc>
          <w:tcPr>
            <w:tcW w:w="850"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30.55</w:t>
            </w:r>
          </w:p>
        </w:tc>
        <w:tc>
          <w:tcPr>
            <w:tcW w:w="851"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40</w:t>
            </w:r>
          </w:p>
        </w:tc>
        <w:tc>
          <w:tcPr>
            <w:tcW w:w="620"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992" w:type="dxa"/>
            <w:tcBorders>
              <w:right w:val="single" w:color="auto" w:sz="4" w:space="0"/>
            </w:tcBorders>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992" w:type="dxa"/>
            <w:tcBorders>
              <w:left w:val="single" w:color="auto" w:sz="4" w:space="0"/>
            </w:tcBorders>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880"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40</w:t>
            </w:r>
          </w:p>
        </w:tc>
        <w:tc>
          <w:tcPr>
            <w:tcW w:w="591"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851"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61" w:type="dxa"/>
            <w:vMerge w:val="restart"/>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生</w:t>
            </w:r>
          </w:p>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态</w:t>
            </w:r>
          </w:p>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文</w:t>
            </w:r>
          </w:p>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明</w:t>
            </w:r>
          </w:p>
        </w:tc>
        <w:tc>
          <w:tcPr>
            <w:tcW w:w="455"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16</w:t>
            </w:r>
          </w:p>
        </w:tc>
        <w:tc>
          <w:tcPr>
            <w:tcW w:w="1295" w:type="dxa"/>
            <w:gridSpan w:val="2"/>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单位GDP能源消耗降低</w:t>
            </w:r>
          </w:p>
        </w:tc>
        <w:tc>
          <w:tcPr>
            <w:tcW w:w="567"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850" w:type="dxa"/>
            <w:vMerge w:val="restart"/>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3.5</w:t>
            </w:r>
          </w:p>
        </w:tc>
        <w:tc>
          <w:tcPr>
            <w:tcW w:w="851"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3.5</w:t>
            </w:r>
          </w:p>
        </w:tc>
        <w:tc>
          <w:tcPr>
            <w:tcW w:w="620" w:type="dxa"/>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3455" w:type="dxa"/>
            <w:gridSpan w:val="4"/>
            <w:vMerge w:val="restart"/>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该指标仅考核市完成情况</w:t>
            </w:r>
          </w:p>
        </w:tc>
        <w:tc>
          <w:tcPr>
            <w:tcW w:w="851"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61" w:type="dxa"/>
            <w:vMerge w:val="continue"/>
            <w:noWrap w:val="0"/>
            <w:vAlign w:val="center"/>
          </w:tcPr>
          <w:p>
            <w:pPr>
              <w:spacing w:line="260" w:lineRule="exact"/>
              <w:jc w:val="center"/>
              <w:rPr>
                <w:rFonts w:ascii="Times New Roman" w:hAnsi="Times New Roman" w:eastAsia="仿宋_GB2312" w:cs="Times New Roman"/>
                <w:sz w:val="21"/>
                <w:szCs w:val="21"/>
              </w:rPr>
            </w:pPr>
          </w:p>
        </w:tc>
        <w:tc>
          <w:tcPr>
            <w:tcW w:w="455"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17</w:t>
            </w:r>
          </w:p>
        </w:tc>
        <w:tc>
          <w:tcPr>
            <w:tcW w:w="1295" w:type="dxa"/>
            <w:gridSpan w:val="2"/>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单位生产总值二氧化碳排放降低</w:t>
            </w:r>
          </w:p>
        </w:tc>
        <w:tc>
          <w:tcPr>
            <w:tcW w:w="567"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850" w:type="dxa"/>
            <w:vMerge w:val="continue"/>
            <w:noWrap w:val="0"/>
            <w:vAlign w:val="center"/>
          </w:tcPr>
          <w:p>
            <w:pPr>
              <w:jc w:val="center"/>
              <w:rPr>
                <w:rFonts w:ascii="Times New Roman" w:hAnsi="Times New Roman" w:eastAsia="仿宋_GB2312" w:cs="Times New Roman"/>
                <w:sz w:val="21"/>
                <w:szCs w:val="21"/>
              </w:rPr>
            </w:pPr>
          </w:p>
        </w:tc>
        <w:tc>
          <w:tcPr>
            <w:tcW w:w="851"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3.5</w:t>
            </w:r>
          </w:p>
        </w:tc>
        <w:tc>
          <w:tcPr>
            <w:tcW w:w="620" w:type="dxa"/>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3455" w:type="dxa"/>
            <w:gridSpan w:val="4"/>
            <w:vMerge w:val="continue"/>
            <w:noWrap w:val="0"/>
            <w:vAlign w:val="center"/>
          </w:tcPr>
          <w:p>
            <w:pPr>
              <w:spacing w:line="260" w:lineRule="exact"/>
              <w:jc w:val="center"/>
              <w:rPr>
                <w:rFonts w:ascii="Times New Roman" w:hAnsi="Times New Roman" w:eastAsia="仿宋_GB2312" w:cs="Times New Roman"/>
                <w:sz w:val="21"/>
                <w:szCs w:val="21"/>
              </w:rPr>
            </w:pPr>
          </w:p>
        </w:tc>
        <w:tc>
          <w:tcPr>
            <w:tcW w:w="851"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61" w:type="dxa"/>
            <w:vMerge w:val="continue"/>
            <w:noWrap w:val="0"/>
            <w:vAlign w:val="center"/>
          </w:tcPr>
          <w:p>
            <w:pPr>
              <w:spacing w:line="260" w:lineRule="exact"/>
              <w:jc w:val="center"/>
              <w:rPr>
                <w:rFonts w:ascii="Times New Roman" w:hAnsi="Times New Roman" w:eastAsia="仿宋_GB2312" w:cs="Times New Roman"/>
                <w:sz w:val="21"/>
                <w:szCs w:val="21"/>
              </w:rPr>
            </w:pPr>
          </w:p>
        </w:tc>
        <w:tc>
          <w:tcPr>
            <w:tcW w:w="455"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18</w:t>
            </w:r>
          </w:p>
        </w:tc>
        <w:tc>
          <w:tcPr>
            <w:tcW w:w="1295" w:type="dxa"/>
            <w:gridSpan w:val="2"/>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森林覆盖率</w:t>
            </w:r>
          </w:p>
        </w:tc>
        <w:tc>
          <w:tcPr>
            <w:tcW w:w="567"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850"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34</w:t>
            </w:r>
          </w:p>
        </w:tc>
        <w:tc>
          <w:tcPr>
            <w:tcW w:w="851"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38</w:t>
            </w:r>
          </w:p>
        </w:tc>
        <w:tc>
          <w:tcPr>
            <w:tcW w:w="620" w:type="dxa"/>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992" w:type="dxa"/>
            <w:tcBorders>
              <w:right w:val="single" w:color="auto" w:sz="4" w:space="0"/>
            </w:tcBorders>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36.43</w:t>
            </w:r>
          </w:p>
        </w:tc>
        <w:tc>
          <w:tcPr>
            <w:tcW w:w="992" w:type="dxa"/>
            <w:tcBorders>
              <w:left w:val="single" w:color="auto" w:sz="4" w:space="0"/>
            </w:tcBorders>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880"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36.43</w:t>
            </w:r>
          </w:p>
        </w:tc>
        <w:tc>
          <w:tcPr>
            <w:tcW w:w="591"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851"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61" w:type="dxa"/>
            <w:vMerge w:val="continue"/>
            <w:noWrap w:val="0"/>
            <w:vAlign w:val="center"/>
          </w:tcPr>
          <w:p>
            <w:pPr>
              <w:spacing w:line="260" w:lineRule="exact"/>
              <w:jc w:val="center"/>
              <w:rPr>
                <w:rFonts w:ascii="Times New Roman" w:hAnsi="Times New Roman" w:eastAsia="仿宋_GB2312" w:cs="Times New Roman"/>
                <w:sz w:val="21"/>
                <w:szCs w:val="21"/>
              </w:rPr>
            </w:pPr>
          </w:p>
        </w:tc>
        <w:tc>
          <w:tcPr>
            <w:tcW w:w="455"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19</w:t>
            </w:r>
          </w:p>
        </w:tc>
        <w:tc>
          <w:tcPr>
            <w:tcW w:w="624" w:type="dxa"/>
            <w:vMerge w:val="restart"/>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空气质量</w:t>
            </w:r>
          </w:p>
        </w:tc>
        <w:tc>
          <w:tcPr>
            <w:tcW w:w="671"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城市空气质量优良天数比率（%）</w:t>
            </w:r>
          </w:p>
        </w:tc>
        <w:tc>
          <w:tcPr>
            <w:tcW w:w="567"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850" w:type="dxa"/>
            <w:vMerge w:val="restart"/>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71.2</w:t>
            </w:r>
          </w:p>
        </w:tc>
        <w:tc>
          <w:tcPr>
            <w:tcW w:w="851"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80</w:t>
            </w:r>
          </w:p>
        </w:tc>
        <w:tc>
          <w:tcPr>
            <w:tcW w:w="620"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992" w:type="dxa"/>
            <w:tcBorders>
              <w:right w:val="single" w:color="auto" w:sz="4" w:space="0"/>
            </w:tcBorders>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84.1</w:t>
            </w:r>
          </w:p>
        </w:tc>
        <w:tc>
          <w:tcPr>
            <w:tcW w:w="992" w:type="dxa"/>
            <w:tcBorders>
              <w:left w:val="single" w:color="auto" w:sz="4" w:space="0"/>
            </w:tcBorders>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880"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85.3</w:t>
            </w:r>
          </w:p>
        </w:tc>
        <w:tc>
          <w:tcPr>
            <w:tcW w:w="591"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851"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61" w:type="dxa"/>
            <w:vMerge w:val="continue"/>
            <w:noWrap w:val="0"/>
            <w:vAlign w:val="center"/>
          </w:tcPr>
          <w:p>
            <w:pPr>
              <w:spacing w:line="260" w:lineRule="exact"/>
              <w:jc w:val="center"/>
              <w:rPr>
                <w:rFonts w:ascii="Times New Roman" w:hAnsi="Times New Roman" w:eastAsia="仿宋_GB2312" w:cs="Times New Roman"/>
                <w:sz w:val="21"/>
                <w:szCs w:val="21"/>
              </w:rPr>
            </w:pPr>
          </w:p>
        </w:tc>
        <w:tc>
          <w:tcPr>
            <w:tcW w:w="455"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20</w:t>
            </w:r>
          </w:p>
        </w:tc>
        <w:tc>
          <w:tcPr>
            <w:tcW w:w="624" w:type="dxa"/>
            <w:vMerge w:val="continue"/>
            <w:noWrap w:val="0"/>
            <w:vAlign w:val="center"/>
          </w:tcPr>
          <w:p>
            <w:pPr>
              <w:jc w:val="center"/>
              <w:textAlignment w:val="center"/>
              <w:rPr>
                <w:rFonts w:ascii="Times New Roman" w:hAnsi="Times New Roman" w:eastAsia="仿宋_GB2312" w:cs="Times New Roman"/>
                <w:sz w:val="21"/>
                <w:szCs w:val="21"/>
              </w:rPr>
            </w:pPr>
          </w:p>
        </w:tc>
        <w:tc>
          <w:tcPr>
            <w:tcW w:w="671"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细颗粒物（PM2.5）浓度降低（%）</w:t>
            </w:r>
          </w:p>
        </w:tc>
        <w:tc>
          <w:tcPr>
            <w:tcW w:w="567"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850" w:type="dxa"/>
            <w:vMerge w:val="continue"/>
            <w:noWrap w:val="0"/>
            <w:vAlign w:val="center"/>
          </w:tcPr>
          <w:p>
            <w:pPr>
              <w:jc w:val="center"/>
              <w:textAlignment w:val="center"/>
              <w:rPr>
                <w:rFonts w:ascii="Times New Roman" w:hAnsi="Times New Roman" w:eastAsia="仿宋_GB2312" w:cs="Times New Roman"/>
                <w:sz w:val="21"/>
                <w:szCs w:val="21"/>
              </w:rPr>
            </w:pPr>
          </w:p>
        </w:tc>
        <w:tc>
          <w:tcPr>
            <w:tcW w:w="851"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620"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[-12]</w:t>
            </w:r>
          </w:p>
        </w:tc>
        <w:tc>
          <w:tcPr>
            <w:tcW w:w="992" w:type="dxa"/>
            <w:tcBorders>
              <w:right w:val="single" w:color="auto" w:sz="4" w:space="0"/>
            </w:tcBorders>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992" w:type="dxa"/>
            <w:tcBorders>
              <w:left w:val="single" w:color="auto" w:sz="4" w:space="0"/>
            </w:tcBorders>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-12</w:t>
            </w:r>
          </w:p>
        </w:tc>
        <w:tc>
          <w:tcPr>
            <w:tcW w:w="880"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591"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-12</w:t>
            </w:r>
          </w:p>
        </w:tc>
        <w:tc>
          <w:tcPr>
            <w:tcW w:w="851"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61" w:type="dxa"/>
            <w:vMerge w:val="continue"/>
            <w:noWrap w:val="0"/>
            <w:vAlign w:val="center"/>
          </w:tcPr>
          <w:p>
            <w:pPr>
              <w:spacing w:line="260" w:lineRule="exact"/>
              <w:jc w:val="center"/>
              <w:rPr>
                <w:rFonts w:ascii="Times New Roman" w:hAnsi="Times New Roman" w:eastAsia="仿宋_GB2312" w:cs="Times New Roman"/>
                <w:sz w:val="21"/>
                <w:szCs w:val="21"/>
              </w:rPr>
            </w:pPr>
          </w:p>
        </w:tc>
        <w:tc>
          <w:tcPr>
            <w:tcW w:w="455"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21</w:t>
            </w:r>
          </w:p>
        </w:tc>
        <w:tc>
          <w:tcPr>
            <w:tcW w:w="624" w:type="dxa"/>
            <w:vMerge w:val="restart"/>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主要污染物排放总量减少</w:t>
            </w:r>
          </w:p>
        </w:tc>
        <w:tc>
          <w:tcPr>
            <w:tcW w:w="671"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化学需氧量</w:t>
            </w:r>
          </w:p>
        </w:tc>
        <w:tc>
          <w:tcPr>
            <w:tcW w:w="567"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万吨</w:t>
            </w:r>
          </w:p>
        </w:tc>
        <w:tc>
          <w:tcPr>
            <w:tcW w:w="850"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[7.8]</w:t>
            </w:r>
          </w:p>
        </w:tc>
        <w:tc>
          <w:tcPr>
            <w:tcW w:w="851" w:type="dxa"/>
            <w:vMerge w:val="restart"/>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完成市下达任务</w:t>
            </w:r>
          </w:p>
        </w:tc>
        <w:tc>
          <w:tcPr>
            <w:tcW w:w="620" w:type="dxa"/>
            <w:vMerge w:val="restart"/>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3455" w:type="dxa"/>
            <w:gridSpan w:val="4"/>
            <w:vMerge w:val="restart"/>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该指标仅考核市完成情况</w:t>
            </w:r>
          </w:p>
        </w:tc>
        <w:tc>
          <w:tcPr>
            <w:tcW w:w="851"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61" w:type="dxa"/>
            <w:vMerge w:val="continue"/>
            <w:noWrap w:val="0"/>
            <w:vAlign w:val="center"/>
          </w:tcPr>
          <w:p>
            <w:pPr>
              <w:spacing w:line="260" w:lineRule="exact"/>
              <w:jc w:val="center"/>
              <w:rPr>
                <w:rFonts w:ascii="Times New Roman" w:hAnsi="Times New Roman" w:eastAsia="仿宋_GB2312" w:cs="Times New Roman"/>
                <w:sz w:val="21"/>
                <w:szCs w:val="21"/>
              </w:rPr>
            </w:pPr>
          </w:p>
        </w:tc>
        <w:tc>
          <w:tcPr>
            <w:tcW w:w="455"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22</w:t>
            </w:r>
          </w:p>
        </w:tc>
        <w:tc>
          <w:tcPr>
            <w:tcW w:w="624" w:type="dxa"/>
            <w:vMerge w:val="continue"/>
            <w:noWrap w:val="0"/>
            <w:vAlign w:val="center"/>
          </w:tcPr>
          <w:p>
            <w:pPr>
              <w:jc w:val="center"/>
              <w:textAlignment w:val="center"/>
              <w:rPr>
                <w:rFonts w:ascii="Times New Roman" w:hAnsi="Times New Roman" w:eastAsia="仿宋_GB2312" w:cs="Times New Roman"/>
                <w:sz w:val="21"/>
                <w:szCs w:val="21"/>
              </w:rPr>
            </w:pPr>
          </w:p>
        </w:tc>
        <w:tc>
          <w:tcPr>
            <w:tcW w:w="671"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氨氮</w:t>
            </w:r>
          </w:p>
        </w:tc>
        <w:tc>
          <w:tcPr>
            <w:tcW w:w="567"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万吨</w:t>
            </w:r>
          </w:p>
        </w:tc>
        <w:tc>
          <w:tcPr>
            <w:tcW w:w="850"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[10.2]</w:t>
            </w:r>
          </w:p>
        </w:tc>
        <w:tc>
          <w:tcPr>
            <w:tcW w:w="851" w:type="dxa"/>
            <w:vMerge w:val="continue"/>
            <w:noWrap w:val="0"/>
            <w:vAlign w:val="center"/>
          </w:tcPr>
          <w:p>
            <w:pPr>
              <w:jc w:val="center"/>
              <w:textAlignment w:val="center"/>
              <w:rPr>
                <w:rFonts w:ascii="Times New Roman" w:hAnsi="Times New Roman" w:eastAsia="仿宋_GB2312" w:cs="Times New Roman"/>
                <w:sz w:val="21"/>
                <w:szCs w:val="21"/>
              </w:rPr>
            </w:pPr>
          </w:p>
        </w:tc>
        <w:tc>
          <w:tcPr>
            <w:tcW w:w="620" w:type="dxa"/>
            <w:vMerge w:val="continue"/>
            <w:noWrap w:val="0"/>
            <w:vAlign w:val="center"/>
          </w:tcPr>
          <w:p>
            <w:pPr>
              <w:jc w:val="center"/>
              <w:textAlignment w:val="center"/>
              <w:rPr>
                <w:rFonts w:ascii="Times New Roman" w:hAnsi="Times New Roman" w:eastAsia="仿宋_GB2312" w:cs="Times New Roman"/>
                <w:sz w:val="21"/>
                <w:szCs w:val="21"/>
              </w:rPr>
            </w:pPr>
          </w:p>
        </w:tc>
        <w:tc>
          <w:tcPr>
            <w:tcW w:w="3455" w:type="dxa"/>
            <w:gridSpan w:val="4"/>
            <w:vMerge w:val="continue"/>
            <w:noWrap w:val="0"/>
            <w:vAlign w:val="center"/>
          </w:tcPr>
          <w:p>
            <w:pPr>
              <w:spacing w:line="260" w:lineRule="exact"/>
              <w:jc w:val="center"/>
              <w:rPr>
                <w:rFonts w:ascii="Times New Roman" w:hAnsi="Times New Roman" w:eastAsia="仿宋_GB2312" w:cs="Times New Roman"/>
                <w:sz w:val="21"/>
                <w:szCs w:val="21"/>
              </w:rPr>
            </w:pPr>
          </w:p>
        </w:tc>
        <w:tc>
          <w:tcPr>
            <w:tcW w:w="851"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61" w:type="dxa"/>
            <w:vMerge w:val="continue"/>
            <w:noWrap w:val="0"/>
            <w:vAlign w:val="center"/>
          </w:tcPr>
          <w:p>
            <w:pPr>
              <w:spacing w:line="260" w:lineRule="exact"/>
              <w:jc w:val="center"/>
              <w:rPr>
                <w:rFonts w:ascii="Times New Roman" w:hAnsi="Times New Roman" w:eastAsia="仿宋_GB2312" w:cs="Times New Roman"/>
                <w:sz w:val="21"/>
                <w:szCs w:val="21"/>
              </w:rPr>
            </w:pPr>
          </w:p>
        </w:tc>
        <w:tc>
          <w:tcPr>
            <w:tcW w:w="455"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23</w:t>
            </w:r>
          </w:p>
        </w:tc>
        <w:tc>
          <w:tcPr>
            <w:tcW w:w="624" w:type="dxa"/>
            <w:vMerge w:val="continue"/>
            <w:noWrap w:val="0"/>
            <w:vAlign w:val="center"/>
          </w:tcPr>
          <w:p>
            <w:pPr>
              <w:jc w:val="center"/>
              <w:textAlignment w:val="center"/>
              <w:rPr>
                <w:rFonts w:ascii="Times New Roman" w:hAnsi="Times New Roman" w:eastAsia="仿宋_GB2312" w:cs="Times New Roman"/>
                <w:sz w:val="21"/>
                <w:szCs w:val="21"/>
              </w:rPr>
            </w:pPr>
          </w:p>
        </w:tc>
        <w:tc>
          <w:tcPr>
            <w:tcW w:w="671"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二氧化硫</w:t>
            </w:r>
          </w:p>
        </w:tc>
        <w:tc>
          <w:tcPr>
            <w:tcW w:w="567"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万吨</w:t>
            </w:r>
          </w:p>
        </w:tc>
        <w:tc>
          <w:tcPr>
            <w:tcW w:w="850"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[9]</w:t>
            </w:r>
          </w:p>
        </w:tc>
        <w:tc>
          <w:tcPr>
            <w:tcW w:w="851" w:type="dxa"/>
            <w:vMerge w:val="continue"/>
            <w:noWrap w:val="0"/>
            <w:vAlign w:val="center"/>
          </w:tcPr>
          <w:p>
            <w:pPr>
              <w:jc w:val="center"/>
              <w:textAlignment w:val="center"/>
              <w:rPr>
                <w:rFonts w:ascii="Times New Roman" w:hAnsi="Times New Roman" w:eastAsia="仿宋_GB2312" w:cs="Times New Roman"/>
                <w:sz w:val="21"/>
                <w:szCs w:val="21"/>
              </w:rPr>
            </w:pPr>
          </w:p>
        </w:tc>
        <w:tc>
          <w:tcPr>
            <w:tcW w:w="620" w:type="dxa"/>
            <w:vMerge w:val="continue"/>
            <w:noWrap w:val="0"/>
            <w:vAlign w:val="center"/>
          </w:tcPr>
          <w:p>
            <w:pPr>
              <w:jc w:val="center"/>
              <w:textAlignment w:val="center"/>
              <w:rPr>
                <w:rFonts w:ascii="Times New Roman" w:hAnsi="Times New Roman" w:eastAsia="仿宋_GB2312" w:cs="Times New Roman"/>
                <w:sz w:val="21"/>
                <w:szCs w:val="21"/>
              </w:rPr>
            </w:pPr>
          </w:p>
        </w:tc>
        <w:tc>
          <w:tcPr>
            <w:tcW w:w="3455" w:type="dxa"/>
            <w:gridSpan w:val="4"/>
            <w:vMerge w:val="continue"/>
            <w:noWrap w:val="0"/>
            <w:vAlign w:val="center"/>
          </w:tcPr>
          <w:p>
            <w:pPr>
              <w:spacing w:line="260" w:lineRule="exact"/>
              <w:jc w:val="center"/>
              <w:rPr>
                <w:rFonts w:ascii="Times New Roman" w:hAnsi="Times New Roman" w:eastAsia="仿宋_GB2312" w:cs="Times New Roman"/>
                <w:sz w:val="21"/>
                <w:szCs w:val="21"/>
              </w:rPr>
            </w:pPr>
          </w:p>
        </w:tc>
        <w:tc>
          <w:tcPr>
            <w:tcW w:w="851"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561" w:type="dxa"/>
            <w:vMerge w:val="continue"/>
            <w:noWrap w:val="0"/>
            <w:vAlign w:val="center"/>
          </w:tcPr>
          <w:p>
            <w:pPr>
              <w:spacing w:line="260" w:lineRule="exact"/>
              <w:jc w:val="center"/>
              <w:rPr>
                <w:rFonts w:ascii="Times New Roman" w:hAnsi="Times New Roman" w:eastAsia="仿宋_GB2312" w:cs="Times New Roman"/>
                <w:sz w:val="21"/>
                <w:szCs w:val="21"/>
              </w:rPr>
            </w:pPr>
          </w:p>
        </w:tc>
        <w:tc>
          <w:tcPr>
            <w:tcW w:w="455"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24</w:t>
            </w:r>
          </w:p>
        </w:tc>
        <w:tc>
          <w:tcPr>
            <w:tcW w:w="624" w:type="dxa"/>
            <w:vMerge w:val="continue"/>
            <w:noWrap w:val="0"/>
            <w:vAlign w:val="center"/>
          </w:tcPr>
          <w:p>
            <w:pPr>
              <w:jc w:val="center"/>
              <w:textAlignment w:val="center"/>
              <w:rPr>
                <w:rFonts w:ascii="Times New Roman" w:hAnsi="Times New Roman" w:eastAsia="仿宋_GB2312" w:cs="Times New Roman"/>
                <w:sz w:val="21"/>
                <w:szCs w:val="21"/>
              </w:rPr>
            </w:pPr>
          </w:p>
        </w:tc>
        <w:tc>
          <w:tcPr>
            <w:tcW w:w="671" w:type="dxa"/>
            <w:noWrap w:val="0"/>
            <w:vAlign w:val="center"/>
          </w:tcPr>
          <w:p>
            <w:pPr>
              <w:spacing w:line="26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氮氧化物</w:t>
            </w:r>
          </w:p>
        </w:tc>
        <w:tc>
          <w:tcPr>
            <w:tcW w:w="567"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万吨</w:t>
            </w:r>
          </w:p>
        </w:tc>
        <w:tc>
          <w:tcPr>
            <w:tcW w:w="850"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[8.0]</w:t>
            </w:r>
          </w:p>
        </w:tc>
        <w:tc>
          <w:tcPr>
            <w:tcW w:w="851" w:type="dxa"/>
            <w:vMerge w:val="continue"/>
            <w:noWrap w:val="0"/>
            <w:vAlign w:val="center"/>
          </w:tcPr>
          <w:p>
            <w:pPr>
              <w:jc w:val="center"/>
              <w:textAlignment w:val="center"/>
              <w:rPr>
                <w:rFonts w:ascii="Times New Roman" w:hAnsi="Times New Roman" w:eastAsia="仿宋_GB2312" w:cs="Times New Roman"/>
                <w:sz w:val="21"/>
                <w:szCs w:val="21"/>
              </w:rPr>
            </w:pPr>
          </w:p>
        </w:tc>
        <w:tc>
          <w:tcPr>
            <w:tcW w:w="620" w:type="dxa"/>
            <w:vMerge w:val="continue"/>
            <w:noWrap w:val="0"/>
            <w:vAlign w:val="center"/>
          </w:tcPr>
          <w:p>
            <w:pPr>
              <w:jc w:val="center"/>
              <w:textAlignment w:val="center"/>
              <w:rPr>
                <w:rFonts w:ascii="Times New Roman" w:hAnsi="Times New Roman" w:eastAsia="仿宋_GB2312" w:cs="Times New Roman"/>
                <w:sz w:val="21"/>
                <w:szCs w:val="21"/>
              </w:rPr>
            </w:pPr>
          </w:p>
        </w:tc>
        <w:tc>
          <w:tcPr>
            <w:tcW w:w="3455" w:type="dxa"/>
            <w:gridSpan w:val="4"/>
            <w:vMerge w:val="continue"/>
            <w:noWrap w:val="0"/>
            <w:vAlign w:val="center"/>
          </w:tcPr>
          <w:p>
            <w:pPr>
              <w:spacing w:line="260" w:lineRule="exact"/>
              <w:jc w:val="center"/>
              <w:rPr>
                <w:rFonts w:ascii="Times New Roman" w:hAnsi="Times New Roman" w:eastAsia="仿宋_GB2312" w:cs="Times New Roman"/>
                <w:sz w:val="21"/>
                <w:szCs w:val="21"/>
              </w:rPr>
            </w:pPr>
          </w:p>
        </w:tc>
        <w:tc>
          <w:tcPr>
            <w:tcW w:w="851" w:type="dxa"/>
            <w:noWrap w:val="0"/>
            <w:vAlign w:val="center"/>
          </w:tcPr>
          <w:p>
            <w:pPr>
              <w:jc w:val="cente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9505" w:type="dxa"/>
            <w:gridSpan w:val="13"/>
            <w:noWrap w:val="0"/>
            <w:vAlign w:val="center"/>
          </w:tcPr>
          <w:p>
            <w:pP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rPr>
              <w:t>说明：[]内为五年累计完成数。</w:t>
            </w:r>
          </w:p>
        </w:tc>
      </w:tr>
    </w:tbl>
    <w:p>
      <w:pPr>
        <w:widowControl w:val="0"/>
        <w:spacing w:before="240" w:after="60" w:line="560" w:lineRule="exact"/>
        <w:jc w:val="center"/>
        <w:outlineLvl w:val="1"/>
        <w:rPr>
          <w:rFonts w:ascii="Times New Roman" w:hAnsi="Times New Roman" w:eastAsia="楷体_GB2312" w:cs="Times New Roman"/>
          <w:b/>
          <w:bCs/>
          <w:sz w:val="32"/>
          <w:szCs w:val="32"/>
        </w:rPr>
      </w:pPr>
      <w:bookmarkStart w:id="14" w:name="_Toc23506"/>
      <w:r>
        <w:rPr>
          <w:rFonts w:ascii="Times New Roman" w:hAnsi="Times New Roman" w:eastAsia="楷体_GB2312" w:cs="Times New Roman"/>
          <w:b/>
          <w:bCs/>
          <w:sz w:val="32"/>
          <w:szCs w:val="32"/>
        </w:rPr>
        <w:t>第二节  发展环境</w:t>
      </w:r>
      <w:bookmarkEnd w:id="13"/>
      <w:bookmarkEnd w:id="14"/>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“十四五”时期，世界百年未有之大变局深度演化和我国社会主义现代化建设新征程开局起步相互交融，叠加新冠肺炎疫情全球爆发带来的冲击，西塞山区发展的外部环境发生重大变化。</w:t>
      </w:r>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楷体_GB2312" w:cs="Times New Roman"/>
          <w:b/>
          <w:bCs/>
          <w:sz w:val="32"/>
          <w:szCs w:val="32"/>
        </w:rPr>
        <w:t>从国内外看，</w:t>
      </w:r>
      <w:r>
        <w:rPr>
          <w:rFonts w:ascii="Times New Roman" w:hAnsi="Times New Roman" w:eastAsia="仿宋_GB2312" w:cs="Times New Roman"/>
          <w:sz w:val="32"/>
          <w:szCs w:val="32"/>
        </w:rPr>
        <w:t>世界经济增长持续放缓甚至衰退，仍处在国际金融危机后的深度调整期，美国对中国的全面遏制，中美战略博弈常态化，不稳定不确定因素明显增多。新一轮科技和产业革命走向扩散期，发达国家“先进制造业回归计划”，导致全球产业链分工和生产组织网络发生重大调整，同时对我国新经济新动能发展产生巨大促进作用。随着全国范围内区域战略格局的深度调整，国内大循环为主体、国内国际双循环相互促进的新发展格局加速形成，构建完整的内需体系、培育新形势下参与国际合作和竞争的新优势，成为我国经济社会发展的新导航图。十四五期间，我国将由中高收入国家进入高收入国家行列，强大的国内市场将成为支撑国民经济增长的坚实基础，物联网、人工智能、大数据、云计算、区块链等新一代信息技术和新经济、新业态、新模式，以及制造业数字化转型、智能化改造步伐加快，国民经济由粗放式增长向高质量创新式发展跨越，产业融合发展成为主要方向，全要素生产率应成为主要增长动力，新型城镇化成为经济长期向好的重大潜力。</w:t>
      </w:r>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楷体_GB2312" w:cs="Times New Roman"/>
          <w:b/>
          <w:bCs/>
          <w:sz w:val="32"/>
          <w:szCs w:val="32"/>
        </w:rPr>
        <w:t>从湖北看，</w:t>
      </w:r>
      <w:r>
        <w:rPr>
          <w:rFonts w:ascii="Times New Roman" w:hAnsi="Times New Roman" w:eastAsia="仿宋_GB2312" w:cs="Times New Roman"/>
          <w:sz w:val="32"/>
          <w:szCs w:val="32"/>
        </w:rPr>
        <w:t>“十四五”将是湖北化危为机、浴火重生的关键期。部分产业链面临“断链”“挤出”“替代”风险，一些产业链核心企业难以迅速恢复，但是国家“一带一路”、促进中部地区崛起、西部大开发、长江中游城市群等重大战略，特别是中央对湖北的一揽子支持政策，将会在一段时期内形成洼地效应，有利于我省把政策优势转化为发展优势。区域竞争格局方面，全省</w:t>
      </w:r>
      <w:bookmarkStart w:id="15" w:name="_Hlk61443723"/>
      <w:r>
        <w:rPr>
          <w:rFonts w:ascii="Times New Roman" w:hAnsi="Times New Roman" w:eastAsia="仿宋_GB2312" w:cs="Times New Roman"/>
          <w:sz w:val="32"/>
          <w:szCs w:val="32"/>
        </w:rPr>
        <w:t>“一主引领、两翼驱动、全域协同”区域发展布局</w:t>
      </w:r>
      <w:bookmarkEnd w:id="15"/>
      <w:r>
        <w:rPr>
          <w:rFonts w:ascii="Times New Roman" w:hAnsi="Times New Roman" w:eastAsia="仿宋_GB2312" w:cs="Times New Roman"/>
          <w:sz w:val="32"/>
          <w:szCs w:val="32"/>
        </w:rPr>
        <w:t>深入实施，以国内大循环为主体的双循环新发展格局，将促使中部战略加速隆起，湖北有望进一步挖掘内需潜力、发挥市场优势，成为国家推动双向开放、内外循环的新时代战略支点，湖北发展将迎来重大战略机遇期。集成电路、信息网络、生物医药等领域产业链核心企业有条件进一步拉长优势，应急、生命健康等产业可以乘势而上成为全国重要的基地和中心，疫情催生的新产业、新业态和新模式有望抓住机会培育壮大。</w:t>
      </w:r>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楷体_GB2312" w:cs="Times New Roman"/>
          <w:b/>
          <w:bCs/>
          <w:sz w:val="32"/>
          <w:szCs w:val="32"/>
        </w:rPr>
        <w:t>从黄石看，</w:t>
      </w:r>
      <w:r>
        <w:rPr>
          <w:rFonts w:ascii="Times New Roman" w:hAnsi="Times New Roman" w:eastAsia="仿宋_GB2312" w:cs="Times New Roman"/>
          <w:sz w:val="32"/>
          <w:szCs w:val="32"/>
        </w:rPr>
        <w:t>重大区域发展战略多重叠加，“一带一路”、中部崛起、长江经济带、武汉城市圈、武鄂黄黄一体化，特别是顺丰机场建设、武汉光谷科创大走廊东扩，使得黄石交通、区位和产业优势和区域战略作用更加凸显。重大政策红利持续释放，国家老工业基地城市、国家产业转型升级示范区、国家独立工矿区、国家城市矿产基地等试点示范，以及中央对疫情重灾区湖北支持力度空前，为黄石“六稳”“六保”提供强有力的支撑。转型发展战略明确，坚持以动能转型打造创新活力之城、以产业转型打造先进制造之城、以功能转型打造现代港口城市、以生态转型打造山水宜居之城、以空间转型打造历史文化名城，“五城目标”、“五大转型”为黄石高质量发展指明了方向。</w:t>
      </w:r>
    </w:p>
    <w:p>
      <w:pPr>
        <w:widowControl w:val="0"/>
        <w:spacing w:before="240" w:after="60" w:line="560" w:lineRule="exact"/>
        <w:jc w:val="center"/>
        <w:outlineLvl w:val="1"/>
        <w:rPr>
          <w:rFonts w:ascii="Times New Roman" w:hAnsi="Times New Roman" w:eastAsia="楷体_GB2312" w:cs="Times New Roman"/>
          <w:b/>
          <w:bCs/>
          <w:sz w:val="32"/>
          <w:szCs w:val="32"/>
        </w:rPr>
      </w:pPr>
      <w:bookmarkStart w:id="16" w:name="_Toc28468"/>
      <w:bookmarkStart w:id="17" w:name="_Toc47971142"/>
      <w:r>
        <w:rPr>
          <w:rFonts w:ascii="Times New Roman" w:hAnsi="Times New Roman" w:eastAsia="楷体_GB2312" w:cs="Times New Roman"/>
          <w:b/>
          <w:bCs/>
          <w:sz w:val="32"/>
          <w:szCs w:val="32"/>
        </w:rPr>
        <w:t>第三节  机遇挑战</w:t>
      </w:r>
      <w:bookmarkEnd w:id="16"/>
      <w:bookmarkEnd w:id="17"/>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综合国内外、省、市外部宏观环境和全区发展基础，</w:t>
      </w:r>
      <w:r>
        <w:rPr>
          <w:rFonts w:ascii="Times New Roman" w:hAnsi="Times New Roman" w:eastAsia="仿宋_GB2312" w:cs="Times New Roman"/>
          <w:sz w:val="32"/>
          <w:szCs w:val="32"/>
          <w:shd w:val="clear" w:color="auto" w:fill="FFFFFF"/>
        </w:rPr>
        <w:t>西塞山区</w:t>
      </w:r>
      <w:r>
        <w:rPr>
          <w:rFonts w:hint="eastAsia" w:ascii="Times New Roman" w:hAnsi="Times New Roman" w:eastAsia="仿宋_GB2312" w:cs="Times New Roman"/>
          <w:sz w:val="32"/>
          <w:szCs w:val="32"/>
          <w:shd w:val="clear" w:color="auto" w:fill="FFFFFF"/>
        </w:rPr>
        <w:t>迎来</w:t>
      </w:r>
      <w:r>
        <w:rPr>
          <w:rFonts w:ascii="Times New Roman" w:hAnsi="Times New Roman" w:eastAsia="仿宋_GB2312" w:cs="Times New Roman"/>
          <w:sz w:val="32"/>
          <w:szCs w:val="32"/>
          <w:shd w:val="clear" w:color="auto" w:fill="FFFFFF"/>
        </w:rPr>
        <w:t>长江经济带发展、武汉城市圈同城化发展、黄石沿江高质量发展带、黄石新港物流园区加快建设等重大区域战略机遇，</w:t>
      </w:r>
      <w:r>
        <w:rPr>
          <w:rFonts w:ascii="Times New Roman" w:hAnsi="Times New Roman" w:eastAsia="仿宋_GB2312" w:cs="Times New Roman"/>
          <w:sz w:val="32"/>
          <w:szCs w:val="32"/>
        </w:rPr>
        <w:t>仍处于可以大有作为的重要战略机遇期。</w:t>
      </w:r>
    </w:p>
    <w:p>
      <w:pPr>
        <w:widowControl w:val="0"/>
        <w:spacing w:line="560" w:lineRule="exact"/>
        <w:ind w:firstLine="640" w:firstLineChars="200"/>
        <w:jc w:val="both"/>
        <w:rPr>
          <w:rFonts w:ascii="Times New Roman" w:hAnsi="Times New Roman" w:eastAsia="仿宋_GB2312" w:cs="Times New Roman"/>
          <w:b/>
          <w:bCs/>
          <w:sz w:val="32"/>
          <w:szCs w:val="32"/>
        </w:rPr>
      </w:pPr>
      <w:r>
        <w:rPr>
          <w:rFonts w:ascii="Times New Roman" w:hAnsi="Times New Roman" w:eastAsia="楷体_GB2312" w:cs="Times New Roman"/>
          <w:b/>
          <w:bCs/>
          <w:sz w:val="32"/>
          <w:szCs w:val="32"/>
        </w:rPr>
        <w:t>一是重大战略决策叠加带来的机遇。</w:t>
      </w:r>
      <w:r>
        <w:rPr>
          <w:rFonts w:ascii="Times New Roman" w:hAnsi="Times New Roman" w:eastAsia="仿宋_GB2312" w:cs="Times New Roman"/>
          <w:sz w:val="32"/>
          <w:szCs w:val="32"/>
        </w:rPr>
        <w:t>从区域发展战略看，“一带一路”、“长江经济带”、“长江中游城市群”、“中部崛起”、“促进资源型城市可持续发展”、“推进老工业基地调整改造”以及</w:t>
      </w:r>
      <w:r>
        <w:rPr>
          <w:rFonts w:hint="eastAsia" w:ascii="Times New Roman" w:hAnsi="Times New Roman" w:eastAsia="仿宋_GB2312" w:cs="Times New Roman"/>
          <w:sz w:val="32"/>
          <w:szCs w:val="32"/>
        </w:rPr>
        <w:t>“一主引领、两翼驱动、全域协同”区域发展布局</w:t>
      </w:r>
      <w:r>
        <w:rPr>
          <w:rFonts w:ascii="Times New Roman" w:hAnsi="Times New Roman" w:eastAsia="仿宋_GB2312" w:cs="Times New Roman"/>
          <w:sz w:val="32"/>
          <w:szCs w:val="32"/>
        </w:rPr>
        <w:t>、“武汉城市圈航空港经济综合实验区”、黄石市“聚焦五城目标、推进五大转型”战略的陆续实施，多重政策叠加的机遇为西塞山区加快转型升级提供了强有力的政策支持。特别西塞山区是长江经济带的重要组成部分，也是先进制造业集群地之一，在此机遇下，西塞山区可以充分发挥自身优势，强化区域中心的带动作用，加快西塞山老工业基地转型振兴。</w:t>
      </w:r>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楷体_GB2312" w:cs="Times New Roman"/>
          <w:b/>
          <w:bCs/>
          <w:sz w:val="32"/>
          <w:szCs w:val="32"/>
        </w:rPr>
        <w:t>二是经济结构战略性调整带来的机遇。</w:t>
      </w:r>
      <w:r>
        <w:rPr>
          <w:rFonts w:ascii="Times New Roman" w:hAnsi="Times New Roman" w:eastAsia="仿宋_GB2312" w:cs="Times New Roman"/>
          <w:sz w:val="32"/>
          <w:szCs w:val="32"/>
        </w:rPr>
        <w:t>为积极适应和引领经济发展新常态，中央城市工作会议、中央经济工作会议和国家“十三五”规划均把推进供给侧结构性改革作为拉动经济增长的重要动力，把城镇化和城市发展作为供给侧结构性改革的重要内容和稳定需求侧的核心。近期，中共中央政治局常务委员会多次提到，要深化供给侧结构性改革，充分发挥我国超大规模市场优势和内需潜力，加快形成以国内大循环为主体、国内国际双循环相互促进的新发展格局。西塞山区应加快推进新型城镇化和城乡融合发展，不断改善县域营商环境，全力招商引资，提升在全省乃至全国完整内需体系中的地位，</w:t>
      </w:r>
      <w:r>
        <w:rPr>
          <w:rFonts w:hint="eastAsia" w:ascii="Times New Roman" w:hAnsi="Times New Roman" w:eastAsia="仿宋_GB2312" w:cs="Times New Roman"/>
          <w:sz w:val="32"/>
          <w:szCs w:val="32"/>
        </w:rPr>
        <w:t>抓住</w:t>
      </w:r>
      <w:r>
        <w:rPr>
          <w:rFonts w:ascii="Times New Roman" w:hAnsi="Times New Roman" w:eastAsia="仿宋_GB2312" w:cs="Times New Roman"/>
          <w:sz w:val="32"/>
          <w:szCs w:val="32"/>
        </w:rPr>
        <w:t>疫情过后全球经济复苏带来的机遇，激活全区高质量发展的强劲内生动力，打造发展新优势。</w:t>
      </w:r>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楷体_GB2312" w:cs="Times New Roman"/>
          <w:b/>
          <w:bCs/>
          <w:sz w:val="32"/>
          <w:szCs w:val="32"/>
        </w:rPr>
        <w:t>三是区域发展布局带来的机遇。</w:t>
      </w:r>
      <w:r>
        <w:rPr>
          <w:rFonts w:ascii="Times New Roman" w:hAnsi="Times New Roman" w:eastAsia="仿宋_GB2312" w:cs="Times New Roman"/>
          <w:sz w:val="32"/>
          <w:szCs w:val="32"/>
        </w:rPr>
        <w:t>在以“三纵两横”为轴线的国家重大生产力布局中，黄石位于“十”字型一级发展轴线，处于长江中游城市的几何地理中心区域，是长江中游重要港口城市、长江中游城市群重要节点城市。西塞山区位于黄石市城区东部长江南岸</w:t>
      </w:r>
      <w:r>
        <w:rPr>
          <w:rFonts w:hint="eastAsia" w:ascii="Times New Roman" w:hAnsi="Times New Roman" w:eastAsia="仿宋_GB2312" w:cs="Times New Roman"/>
          <w:sz w:val="32"/>
          <w:szCs w:val="32"/>
        </w:rPr>
        <w:t>，是</w:t>
      </w:r>
      <w:r>
        <w:rPr>
          <w:rFonts w:ascii="Times New Roman" w:hAnsi="Times New Roman" w:eastAsia="仿宋_GB2312" w:cs="Times New Roman"/>
          <w:sz w:val="32"/>
          <w:szCs w:val="32"/>
        </w:rPr>
        <w:t>武汉城市圈中扼守鄂东的战略门户，拥有“公、铁、水、空”于一体的便捷立体化交通体系，其区位优势、战略地位日益凸显，必将成为国家、省、市新一轮开放开发的前沿阵地，为经济社会发展拓展新的发展空间。目前，黄石正大力打造</w:t>
      </w:r>
      <w:r>
        <w:rPr>
          <w:rFonts w:ascii="Times New Roman" w:hAnsi="Times New Roman" w:eastAsia="仿宋_GB2312" w:cs="Times New Roman"/>
          <w:spacing w:val="2"/>
          <w:sz w:val="32"/>
          <w:szCs w:val="32"/>
        </w:rPr>
        <w:t>现代港口物流产业基地</w:t>
      </w:r>
      <w:r>
        <w:rPr>
          <w:rFonts w:ascii="Times New Roman" w:hAnsi="Times New Roman" w:eastAsia="仿宋_GB2312" w:cs="Times New Roman"/>
          <w:sz w:val="32"/>
          <w:szCs w:val="32"/>
        </w:rPr>
        <w:t>，西塞山区应趁势加快推进临港产业园建设，突破性发展临港生产性服务业。</w:t>
      </w:r>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楷体_GB2312" w:cs="Times New Roman"/>
          <w:b/>
          <w:bCs/>
          <w:sz w:val="32"/>
          <w:szCs w:val="32"/>
        </w:rPr>
        <w:t>四是科技产业革命加速推进带来的机遇。</w:t>
      </w:r>
      <w:r>
        <w:rPr>
          <w:rFonts w:ascii="Times New Roman" w:hAnsi="Times New Roman" w:eastAsia="仿宋_GB2312" w:cs="Times New Roman"/>
          <w:sz w:val="32"/>
          <w:szCs w:val="32"/>
        </w:rPr>
        <w:t>新科技革命和产业革命孕育突破，5G、新基建、人工智能、大数据、新能源、新消费等领域集中爆发，特别是2020年3月，中共中央政治局常务委员会召开会议提出，加快5G网络、数据中心等新型基础设施建设进度，提出湖北省要启动一批重大项目，加快传统基础设施和5G、人工智能等新型基础设施建设。西塞山区应抢抓科技产业革命加速推进带来的机遇，大力实施创新驱动战略，扩大消费市场，引领发展动力转换。</w:t>
      </w:r>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楷体_GB2312" w:cs="Times New Roman"/>
          <w:b/>
          <w:bCs/>
          <w:sz w:val="32"/>
          <w:szCs w:val="32"/>
        </w:rPr>
        <w:t>五是中央支持湖北一揽子政策带来的机遇。</w:t>
      </w:r>
      <w:r>
        <w:rPr>
          <w:rFonts w:hint="eastAsia" w:ascii="Times New Roman" w:hAnsi="Times New Roman" w:eastAsia="楷体_GB2312" w:cs="Times New Roman"/>
          <w:sz w:val="32"/>
          <w:szCs w:val="32"/>
        </w:rPr>
        <w:t>2</w:t>
      </w:r>
      <w:r>
        <w:rPr>
          <w:rFonts w:ascii="Times New Roman" w:hAnsi="Times New Roman" w:eastAsia="楷体_GB2312" w:cs="Times New Roman"/>
          <w:sz w:val="32"/>
          <w:szCs w:val="32"/>
        </w:rPr>
        <w:t>020</w:t>
      </w:r>
      <w:r>
        <w:rPr>
          <w:rFonts w:hint="eastAsia" w:ascii="Times New Roman" w:hAnsi="Times New Roman" w:eastAsia="楷体_GB2312" w:cs="Times New Roman"/>
          <w:sz w:val="32"/>
          <w:szCs w:val="32"/>
        </w:rPr>
        <w:t>年</w:t>
      </w:r>
      <w:r>
        <w:rPr>
          <w:rFonts w:ascii="Times New Roman" w:hAnsi="Times New Roman" w:eastAsia="仿宋_GB2312" w:cs="Times New Roman"/>
          <w:sz w:val="32"/>
          <w:szCs w:val="32"/>
        </w:rPr>
        <w:t>4月底，中共中央政治局常务委员会研究确定了支持湖北省经济社会发展一揽子政策，中央部委密集出台了在外贸、金融信贷、稳岗就业、财政税收、基建、科技创新等全方位多层次的支持政策，这对西塞山区保就业、保民生、保运转，促进经济社会秩序恢复提供了重大机遇。</w:t>
      </w:r>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与此同时，西塞山区在加快推进高质量发展过程中也将面临许多新的压力和挑战。</w:t>
      </w:r>
      <w:r>
        <w:rPr>
          <w:rFonts w:ascii="Times New Roman" w:hAnsi="Times New Roman" w:eastAsia="楷体_GB2312" w:cs="Times New Roman"/>
          <w:b/>
          <w:bCs/>
          <w:sz w:val="32"/>
          <w:szCs w:val="32"/>
        </w:rPr>
        <w:t>一是疫情全球蔓延的冲击。</w:t>
      </w:r>
      <w:r>
        <w:rPr>
          <w:rFonts w:ascii="Times New Roman" w:hAnsi="Times New Roman" w:eastAsia="仿宋_GB2312" w:cs="Times New Roman"/>
          <w:sz w:val="32"/>
          <w:szCs w:val="32"/>
        </w:rPr>
        <w:t>疫情向全球蔓延导致需求收缩，居民非必需品消费等因疫情冲击受到严重抑制，消费增长将受到制约。同时，中小企业生存难度也加大，全区投资增长面临较大困难。</w:t>
      </w:r>
      <w:r>
        <w:rPr>
          <w:rFonts w:ascii="Times New Roman" w:hAnsi="Times New Roman" w:eastAsia="楷体_GB2312" w:cs="Times New Roman"/>
          <w:b/>
          <w:bCs/>
          <w:sz w:val="32"/>
          <w:szCs w:val="32"/>
        </w:rPr>
        <w:t>二是调整结构转型发展任务艰巨。</w:t>
      </w:r>
      <w:r>
        <w:rPr>
          <w:rFonts w:ascii="Times New Roman" w:hAnsi="Times New Roman" w:eastAsia="仿宋_GB2312" w:cs="Times New Roman"/>
          <w:sz w:val="32"/>
          <w:szCs w:val="32"/>
        </w:rPr>
        <w:t>经济总量不够大、转型升级不够快、产业支撑不够强依然是全区最大的现实。新兴产业培育缓慢，高端产业发展制约较多，西塞山区工业经济和外向型经济在全市的比较优势正逐步减弱。</w:t>
      </w:r>
      <w:r>
        <w:rPr>
          <w:rFonts w:ascii="Times New Roman" w:hAnsi="Times New Roman" w:eastAsia="楷体_GB2312" w:cs="Times New Roman"/>
          <w:b/>
          <w:bCs/>
          <w:sz w:val="32"/>
          <w:szCs w:val="32"/>
        </w:rPr>
        <w:t>三是基础设施和公共服务水平需进一步提升。</w:t>
      </w:r>
      <w:r>
        <w:rPr>
          <w:rFonts w:ascii="Times New Roman" w:hAnsi="Times New Roman" w:eastAsia="仿宋_GB2312" w:cs="Times New Roman"/>
          <w:sz w:val="32"/>
          <w:szCs w:val="32"/>
        </w:rPr>
        <w:t>城乡统筹发展不够，老城区基础设施亟需改善，农村基础设施和公共服务设施建设还需加大投入，就业结构性矛盾突出、教育资源不均衡、医疗卫生和文化体育配套设施不足等情况依然存在，发展不平衡不充分的问题较为突出。</w:t>
      </w:r>
      <w:r>
        <w:rPr>
          <w:rFonts w:ascii="Times New Roman" w:hAnsi="Times New Roman" w:eastAsia="楷体_GB2312" w:cs="Times New Roman"/>
          <w:b/>
          <w:bCs/>
          <w:sz w:val="32"/>
          <w:szCs w:val="32"/>
        </w:rPr>
        <w:t>四是经济发展面临较强的资源环境制约。</w:t>
      </w:r>
      <w:r>
        <w:rPr>
          <w:rFonts w:ascii="Times New Roman" w:hAnsi="Times New Roman" w:eastAsia="仿宋_GB2312" w:cs="Times New Roman"/>
          <w:sz w:val="32"/>
          <w:szCs w:val="32"/>
        </w:rPr>
        <w:t>作为老工业城区，西塞山区资源环境压力较大，随着长江大保护战略的深入实施，大气、水生态环境、节能减排刚性约束日益强化，资源供给、环境承载力与经济发展的矛盾不断显现。</w:t>
      </w:r>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综合来看，西塞山区“十四五”时期处于机遇发展的叠加期、转型发展的跃升期、融合发展的加速期、城市建设的爆发期、功能品质的提升期，机遇大于挑战，前景十分广阔。全区上下要坚定发展信心，坚定战胜困难决心，始终把发展作为第一要务，把创新驱动作为发展的“金钥匙”，准确识变、科学应变、主动求变，善于在危机中育先机、于变局中开新局，抓住机遇，应对挑战，趋利避害，奋勇前进，推动西塞山区转型跨越发展。</w:t>
      </w:r>
    </w:p>
    <w:p>
      <w:pPr>
        <w:widowControl w:val="0"/>
        <w:spacing w:line="560" w:lineRule="exact"/>
        <w:ind w:firstLine="640"/>
        <w:jc w:val="both"/>
        <w:rPr>
          <w:rFonts w:ascii="Times New Roman" w:hAnsi="Times New Roman" w:eastAsia="仿宋_GB2312" w:cs="Times New Roman"/>
          <w:sz w:val="32"/>
          <w:szCs w:val="32"/>
        </w:rPr>
        <w:sectPr>
          <w:footerReference r:id="rId4" w:type="default"/>
          <w:pgSz w:w="11906" w:h="16838"/>
          <w:pgMar w:top="2098" w:right="1531" w:bottom="1985" w:left="1531" w:header="851" w:footer="992" w:gutter="0"/>
          <w:pgNumType w:start="1"/>
          <w:cols w:space="720" w:num="1"/>
          <w:docGrid w:type="linesAndChars" w:linePitch="312" w:charSpace="0"/>
        </w:sectPr>
      </w:pPr>
    </w:p>
    <w:p>
      <w:pPr>
        <w:widowControl w:val="0"/>
        <w:spacing w:before="240" w:after="60" w:line="560" w:lineRule="exact"/>
        <w:jc w:val="center"/>
        <w:outlineLvl w:val="0"/>
        <w:rPr>
          <w:rFonts w:ascii="Times New Roman" w:hAnsi="Times New Roman" w:eastAsia="黑体" w:cs="Times New Roman"/>
          <w:kern w:val="32"/>
          <w:sz w:val="32"/>
          <w:szCs w:val="32"/>
        </w:rPr>
      </w:pPr>
      <w:bookmarkStart w:id="18" w:name="_Toc47971143"/>
      <w:bookmarkStart w:id="19" w:name="_Toc28269"/>
      <w:r>
        <w:rPr>
          <w:rFonts w:ascii="Times New Roman" w:hAnsi="Times New Roman" w:eastAsia="黑体" w:cs="Times New Roman"/>
          <w:kern w:val="32"/>
          <w:sz w:val="32"/>
          <w:szCs w:val="32"/>
        </w:rPr>
        <w:t>第二章  总体要求</w:t>
      </w:r>
      <w:bookmarkEnd w:id="18"/>
      <w:bookmarkEnd w:id="19"/>
    </w:p>
    <w:p>
      <w:pPr>
        <w:widowControl w:val="0"/>
        <w:spacing w:before="240" w:after="60" w:line="560" w:lineRule="exact"/>
        <w:jc w:val="center"/>
        <w:outlineLvl w:val="1"/>
        <w:rPr>
          <w:rFonts w:ascii="Times New Roman" w:hAnsi="Times New Roman" w:eastAsia="楷体_GB2312" w:cs="Times New Roman"/>
          <w:b/>
          <w:bCs/>
          <w:sz w:val="32"/>
          <w:szCs w:val="32"/>
        </w:rPr>
      </w:pPr>
      <w:bookmarkStart w:id="20" w:name="_Toc6867"/>
      <w:bookmarkStart w:id="21" w:name="_Toc47971144"/>
      <w:r>
        <w:rPr>
          <w:rFonts w:ascii="Times New Roman" w:hAnsi="Times New Roman" w:eastAsia="楷体_GB2312" w:cs="Times New Roman"/>
          <w:b/>
          <w:bCs/>
          <w:sz w:val="32"/>
          <w:szCs w:val="32"/>
        </w:rPr>
        <w:t>第一节  指导思想</w:t>
      </w:r>
      <w:bookmarkEnd w:id="20"/>
      <w:bookmarkEnd w:id="21"/>
    </w:p>
    <w:p>
      <w:pPr>
        <w:widowControl w:val="0"/>
        <w:spacing w:line="56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高举习近平新时代中国特色社会主义思想伟大旗帜，深入贯彻党的十九大和十九届二中、三中、四中、五中全会精神，全面贯彻党的基本理论、基本路线、基本方略，统筹推进“五位一体”总体布局，协调推进“四个全面”战略布局，坚持</w:t>
      </w:r>
      <w:r>
        <w:rPr>
          <w:rFonts w:hint="eastAsia" w:ascii="Times New Roman" w:hAnsi="Times New Roman" w:eastAsia="仿宋_GB2312" w:cs="Times New Roman"/>
          <w:sz w:val="32"/>
          <w:szCs w:val="32"/>
        </w:rPr>
        <w:t>贯彻</w:t>
      </w:r>
      <w:r>
        <w:rPr>
          <w:rFonts w:ascii="Times New Roman" w:hAnsi="Times New Roman" w:eastAsia="仿宋_GB2312" w:cs="Times New Roman"/>
          <w:sz w:val="32"/>
          <w:szCs w:val="32"/>
        </w:rPr>
        <w:t>新发展理念，</w:t>
      </w:r>
      <w:r>
        <w:rPr>
          <w:rFonts w:hint="eastAsia" w:ascii="Times New Roman" w:hAnsi="Times New Roman" w:eastAsia="仿宋_GB2312" w:cs="Times New Roman"/>
          <w:sz w:val="32"/>
          <w:szCs w:val="32"/>
        </w:rPr>
        <w:t>坚持以人民为中心的发展思想，</w:t>
      </w:r>
      <w:r>
        <w:rPr>
          <w:rFonts w:ascii="Times New Roman" w:hAnsi="Times New Roman" w:eastAsia="仿宋_GB2312"/>
          <w:sz w:val="32"/>
          <w:szCs w:val="32"/>
        </w:rPr>
        <w:t>坚持稳中求进工作总基调，</w:t>
      </w:r>
      <w:r>
        <w:rPr>
          <w:rFonts w:ascii="Times New Roman" w:hAnsi="Times New Roman" w:eastAsia="仿宋_GB2312" w:cs="Times New Roman"/>
          <w:sz w:val="32"/>
          <w:szCs w:val="32"/>
        </w:rPr>
        <w:t>以</w:t>
      </w:r>
      <w:r>
        <w:rPr>
          <w:rFonts w:hint="eastAsia" w:ascii="Times New Roman" w:hAnsi="Times New Roman" w:eastAsia="仿宋_GB2312" w:cs="Times New Roman"/>
          <w:sz w:val="32"/>
          <w:szCs w:val="32"/>
        </w:rPr>
        <w:t>推动</w:t>
      </w:r>
      <w:r>
        <w:rPr>
          <w:rFonts w:ascii="Times New Roman" w:hAnsi="Times New Roman" w:eastAsia="仿宋_GB2312" w:cs="Times New Roman"/>
          <w:sz w:val="32"/>
          <w:szCs w:val="32"/>
        </w:rPr>
        <w:t>高质量发展为主题，</w:t>
      </w:r>
      <w:r>
        <w:rPr>
          <w:rFonts w:hint="eastAsia" w:ascii="Times New Roman" w:hAnsi="Times New Roman" w:eastAsia="仿宋_GB2312" w:cs="Times New Roman"/>
          <w:sz w:val="32"/>
          <w:szCs w:val="32"/>
        </w:rPr>
        <w:t>以深化供给侧结构性改革为主线，</w:t>
      </w:r>
      <w:r>
        <w:rPr>
          <w:rFonts w:ascii="Times New Roman" w:hAnsi="Times New Roman" w:eastAsia="仿宋_GB2312" w:cs="Times New Roman"/>
          <w:sz w:val="32"/>
          <w:szCs w:val="32"/>
        </w:rPr>
        <w:t>以改革创新为根本动力，以依托长江经济带、立足特钢优势产业、对接黄石新港为重要支撑，</w:t>
      </w:r>
      <w:r>
        <w:rPr>
          <w:rFonts w:hint="eastAsia" w:ascii="Times New Roman" w:hAnsi="Times New Roman" w:eastAsia="仿宋_GB2312" w:cs="Times New Roman"/>
          <w:sz w:val="32"/>
          <w:szCs w:val="32"/>
        </w:rPr>
        <w:t>认真落实国家和省、市区域发展战略，</w:t>
      </w:r>
      <w:r>
        <w:rPr>
          <w:rFonts w:ascii="Times New Roman" w:hAnsi="Times New Roman" w:eastAsia="仿宋_GB2312" w:cs="Times New Roman"/>
          <w:sz w:val="32"/>
          <w:szCs w:val="32"/>
        </w:rPr>
        <w:t>围绕黄石“五城”目标，聚焦建设“全国科技创新百强区”、“省级高新技术产业园区”、“黄石临港产业园区”、“全国老旧小区改造示范区”和“磁湖·黄荆山文旅新区”，全力打造创新创业西塞山、特钢名城西塞山、临港总部西塞山、“金湾秀带”西塞山、全域文旅西塞山，为全面建设社会主义现代化强区开好局、起好步。</w:t>
      </w:r>
    </w:p>
    <w:p>
      <w:pPr>
        <w:widowControl w:val="0"/>
        <w:spacing w:before="240" w:after="60" w:line="560" w:lineRule="exact"/>
        <w:jc w:val="center"/>
        <w:outlineLvl w:val="1"/>
        <w:rPr>
          <w:rFonts w:ascii="Times New Roman" w:hAnsi="Times New Roman" w:eastAsia="楷体_GB2312" w:cs="Times New Roman"/>
          <w:b/>
          <w:bCs/>
          <w:sz w:val="32"/>
          <w:szCs w:val="32"/>
        </w:rPr>
      </w:pPr>
      <w:bookmarkStart w:id="22" w:name="_Toc21726"/>
      <w:bookmarkStart w:id="23" w:name="_Toc47971145"/>
      <w:r>
        <w:rPr>
          <w:rFonts w:ascii="Times New Roman" w:hAnsi="Times New Roman" w:eastAsia="楷体_GB2312" w:cs="Times New Roman"/>
          <w:b/>
          <w:bCs/>
          <w:sz w:val="32"/>
          <w:szCs w:val="32"/>
        </w:rPr>
        <w:t>第二节  基本原则</w:t>
      </w:r>
      <w:bookmarkEnd w:id="22"/>
      <w:bookmarkEnd w:id="23"/>
    </w:p>
    <w:p>
      <w:pPr>
        <w:widowControl w:val="0"/>
        <w:spacing w:line="560" w:lineRule="exact"/>
        <w:ind w:firstLine="640"/>
        <w:jc w:val="both"/>
        <w:rPr>
          <w:rFonts w:ascii="Times New Roman" w:hAnsi="Times New Roman" w:eastAsia="仿宋_GB2312" w:cs="Times New Roman"/>
          <w:sz w:val="32"/>
          <w:szCs w:val="32"/>
        </w:rPr>
      </w:pPr>
      <w:r>
        <w:rPr>
          <w:rFonts w:ascii="Times New Roman" w:hAnsi="Times New Roman" w:eastAsia="楷体_GB2312" w:cs="Times New Roman"/>
          <w:b/>
          <w:bCs/>
          <w:sz w:val="32"/>
          <w:szCs w:val="32"/>
        </w:rPr>
        <w:t>——坚持党的全面领导。</w:t>
      </w:r>
      <w:r>
        <w:rPr>
          <w:rFonts w:ascii="Times New Roman" w:hAnsi="Times New Roman" w:eastAsia="仿宋_GB2312" w:cs="Times New Roman"/>
          <w:sz w:val="32"/>
          <w:szCs w:val="32"/>
        </w:rPr>
        <w:t>完善各级党委领导经济</w:t>
      </w:r>
      <w:r>
        <w:rPr>
          <w:rFonts w:hint="eastAsia" w:ascii="Times New Roman" w:hAnsi="Times New Roman" w:eastAsia="仿宋_GB2312" w:cs="Times New Roman"/>
          <w:sz w:val="32"/>
          <w:szCs w:val="32"/>
        </w:rPr>
        <w:t>社会发展的</w:t>
      </w:r>
      <w:r>
        <w:rPr>
          <w:rFonts w:ascii="Times New Roman" w:hAnsi="Times New Roman" w:eastAsia="仿宋_GB2312" w:cs="Times New Roman"/>
          <w:sz w:val="32"/>
          <w:szCs w:val="32"/>
        </w:rPr>
        <w:t>体制机制，提高推动高质量发展的能力和水平，确保党中央决策部署和省委、市委工作要求不折不扣贯彻落实。</w:t>
      </w:r>
    </w:p>
    <w:p>
      <w:pPr>
        <w:widowControl w:val="0"/>
        <w:spacing w:line="560" w:lineRule="exact"/>
        <w:ind w:firstLine="640"/>
        <w:jc w:val="both"/>
        <w:rPr>
          <w:rFonts w:ascii="Times New Roman" w:hAnsi="Times New Roman" w:eastAsia="仿宋_GB2312" w:cs="Times New Roman"/>
          <w:sz w:val="32"/>
          <w:szCs w:val="32"/>
        </w:rPr>
      </w:pPr>
      <w:r>
        <w:rPr>
          <w:rFonts w:ascii="Times New Roman" w:hAnsi="Times New Roman" w:eastAsia="楷体_GB2312" w:cs="Times New Roman"/>
          <w:b/>
          <w:bCs/>
          <w:sz w:val="32"/>
          <w:szCs w:val="32"/>
        </w:rPr>
        <w:t>——坚持以人民为中心。</w:t>
      </w:r>
      <w:r>
        <w:rPr>
          <w:rFonts w:ascii="Times New Roman" w:hAnsi="Times New Roman" w:eastAsia="仿宋_GB2312" w:cs="Times New Roman"/>
          <w:sz w:val="32"/>
          <w:szCs w:val="32"/>
        </w:rPr>
        <w:t>坚持发展为了人民，发展依靠人民、发展成果由人民共享，加快补齐民生短板，提高人民生活品质，不断实现人民对美好生活的向往。</w:t>
      </w:r>
    </w:p>
    <w:p>
      <w:pPr>
        <w:widowControl w:val="0"/>
        <w:spacing w:line="560" w:lineRule="exact"/>
        <w:ind w:firstLine="640"/>
        <w:jc w:val="both"/>
        <w:rPr>
          <w:rFonts w:ascii="Times New Roman" w:hAnsi="Times New Roman" w:eastAsia="仿宋_GB2312" w:cs="Times New Roman"/>
          <w:sz w:val="32"/>
          <w:szCs w:val="32"/>
        </w:rPr>
      </w:pPr>
      <w:r>
        <w:rPr>
          <w:rFonts w:ascii="Times New Roman" w:hAnsi="Times New Roman" w:eastAsia="楷体_GB2312" w:cs="Times New Roman"/>
          <w:b/>
          <w:bCs/>
          <w:sz w:val="32"/>
          <w:szCs w:val="32"/>
        </w:rPr>
        <w:t>——坚持新发展理念。</w:t>
      </w:r>
      <w:r>
        <w:rPr>
          <w:rFonts w:ascii="Times New Roman" w:hAnsi="Times New Roman" w:eastAsia="仿宋_GB2312" w:cs="Times New Roman"/>
          <w:sz w:val="32"/>
          <w:szCs w:val="32"/>
        </w:rPr>
        <w:t>把创新、协调、绿色、开放、共享理念贯穿发展全过程和各领域，实现更高质量、更有效率、更加公平、更可持续、更为安全的发展。</w:t>
      </w:r>
    </w:p>
    <w:p>
      <w:pPr>
        <w:widowControl w:val="0"/>
        <w:spacing w:line="560" w:lineRule="exact"/>
        <w:ind w:firstLine="643"/>
        <w:jc w:val="both"/>
        <w:rPr>
          <w:rFonts w:ascii="Times New Roman" w:hAnsi="Times New Roman" w:eastAsia="仿宋_GB2312" w:cs="Times New Roman"/>
          <w:sz w:val="32"/>
          <w:szCs w:val="32"/>
        </w:rPr>
      </w:pPr>
      <w:r>
        <w:rPr>
          <w:rFonts w:ascii="Times New Roman" w:hAnsi="Times New Roman" w:eastAsia="楷体_GB2312" w:cs="Times New Roman"/>
          <w:b/>
          <w:bCs/>
          <w:sz w:val="32"/>
          <w:szCs w:val="32"/>
        </w:rPr>
        <w:t>——坚持改革开放创新。</w:t>
      </w:r>
      <w:r>
        <w:rPr>
          <w:rFonts w:ascii="Times New Roman" w:hAnsi="Times New Roman" w:eastAsia="仿宋_GB2312" w:cs="Times New Roman"/>
          <w:sz w:val="32"/>
          <w:szCs w:val="32"/>
        </w:rPr>
        <w:t>坚定不移吃“改革饭”、走“开放路”、打“创新牌”，破除制约高质量发展、高品质生活、高效能治理的体制机制障碍，持续增强发展动力和活力。</w:t>
      </w:r>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楷体_GB2312" w:cs="Times New Roman"/>
          <w:b/>
          <w:bCs/>
          <w:sz w:val="32"/>
          <w:szCs w:val="32"/>
        </w:rPr>
        <w:t>——坚持系统观念。</w:t>
      </w:r>
      <w:r>
        <w:rPr>
          <w:rFonts w:ascii="Times New Roman" w:hAnsi="Times New Roman" w:eastAsia="仿宋_GB2312" w:cs="Times New Roman"/>
          <w:sz w:val="32"/>
          <w:szCs w:val="32"/>
        </w:rPr>
        <w:t>加强前瞻性思考、全局性谋划、整体性推进，统筹推进固根基、扬优势、补短板、强弱项、防风险，实现发展质量、结构、规模、速度、效益、安全相统一。</w:t>
      </w:r>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楷体_GB2312" w:cs="Times New Roman"/>
          <w:b/>
          <w:bCs/>
          <w:sz w:val="32"/>
          <w:szCs w:val="32"/>
        </w:rPr>
        <w:t>——坚持工业强区、转型升级不动摇。</w:t>
      </w:r>
      <w:r>
        <w:rPr>
          <w:rFonts w:ascii="Times New Roman" w:hAnsi="Times New Roman" w:eastAsia="仿宋_GB2312" w:cs="Times New Roman"/>
          <w:sz w:val="32"/>
          <w:szCs w:val="32"/>
        </w:rPr>
        <w:t>牢牢把握工业强区定位，加速调结构、转方式、换动能，拓展转型内涵，提升转型质效，推动先进制造业和现代服务业融合发展。</w:t>
      </w:r>
    </w:p>
    <w:p>
      <w:pPr>
        <w:widowControl w:val="0"/>
        <w:spacing w:before="240" w:after="60" w:line="560" w:lineRule="exact"/>
        <w:jc w:val="center"/>
        <w:outlineLvl w:val="1"/>
        <w:rPr>
          <w:rFonts w:ascii="Times New Roman" w:hAnsi="Times New Roman" w:eastAsia="楷体_GB2312" w:cs="Times New Roman"/>
          <w:b/>
          <w:bCs/>
          <w:sz w:val="32"/>
          <w:szCs w:val="32"/>
        </w:rPr>
      </w:pPr>
      <w:bookmarkStart w:id="24" w:name="_Toc47971146"/>
      <w:bookmarkStart w:id="25" w:name="_Toc28852"/>
      <w:r>
        <w:rPr>
          <w:rFonts w:ascii="Times New Roman" w:hAnsi="Times New Roman" w:eastAsia="楷体_GB2312" w:cs="Times New Roman"/>
          <w:b/>
          <w:bCs/>
          <w:sz w:val="32"/>
          <w:szCs w:val="32"/>
        </w:rPr>
        <w:t>第三节  战略定位</w:t>
      </w:r>
      <w:bookmarkEnd w:id="24"/>
      <w:bookmarkEnd w:id="25"/>
    </w:p>
    <w:p>
      <w:pPr>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依托长江经济带、立足特钢优势产业、对接黄石新港，围绕黄石“五城”目标，聚焦“五区”建设，全力打造“五个西塞山”，为全面建设社会主义现代化</w:t>
      </w:r>
      <w:r>
        <w:rPr>
          <w:rFonts w:hint="eastAsia" w:ascii="Times New Roman" w:hAnsi="Times New Roman" w:eastAsia="仿宋_GB2312" w:cs="Times New Roman"/>
          <w:sz w:val="32"/>
          <w:szCs w:val="32"/>
        </w:rPr>
        <w:t>强区</w:t>
      </w:r>
      <w:r>
        <w:rPr>
          <w:rFonts w:ascii="Times New Roman" w:hAnsi="Times New Roman" w:eastAsia="仿宋_GB2312" w:cs="Times New Roman"/>
          <w:sz w:val="32"/>
          <w:szCs w:val="32"/>
        </w:rPr>
        <w:t>开好局、起好步。</w:t>
      </w:r>
    </w:p>
    <w:p>
      <w:pPr>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全国科技创新百强区。</w:t>
      </w:r>
      <w:r>
        <w:rPr>
          <w:rFonts w:ascii="Times New Roman" w:hAnsi="Times New Roman" w:eastAsia="仿宋_GB2312" w:cs="Times New Roman"/>
          <w:sz w:val="32"/>
          <w:szCs w:val="32"/>
        </w:rPr>
        <w:t>构建完备创新体系，提升企业创新能力，完善创新体制机制，激发人才创新活力，持续优化营商环境，着力建设“全国科技创新百强区”。</w:t>
      </w:r>
    </w:p>
    <w:p>
      <w:pPr>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省级高新技术产业园区。</w:t>
      </w:r>
      <w:r>
        <w:rPr>
          <w:rFonts w:ascii="Times New Roman" w:hAnsi="Times New Roman" w:eastAsia="仿宋_GB2312" w:cs="Times New Roman"/>
          <w:sz w:val="32"/>
          <w:szCs w:val="32"/>
        </w:rPr>
        <w:t>强化产业基础能力，提升产业链供应链现代化水平，推动“三链融合”，推动主导产业高质量发展，着力建设“省级高新技术产业园区”。</w:t>
      </w:r>
    </w:p>
    <w:p>
      <w:pPr>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黄石临港产业园区。</w:t>
      </w:r>
      <w:r>
        <w:rPr>
          <w:rFonts w:ascii="Times New Roman" w:hAnsi="Times New Roman" w:eastAsia="仿宋_GB2312" w:cs="Times New Roman"/>
          <w:sz w:val="32"/>
          <w:szCs w:val="32"/>
        </w:rPr>
        <w:t>发挥毗邻新港区位优势和区域性“公铁水空”多式联运优势，加快临港产业园基础设施建设，突出临港总部中心功能，加快发展现代服务业，着力建设“黄石临港产业园区”。</w:t>
      </w:r>
    </w:p>
    <w:p>
      <w:pPr>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全国老旧小区改造示范区。</w:t>
      </w:r>
      <w:r>
        <w:rPr>
          <w:rFonts w:ascii="Times New Roman" w:hAnsi="Times New Roman" w:eastAsia="仿宋_GB2312" w:cs="Times New Roman"/>
          <w:sz w:val="32"/>
          <w:szCs w:val="32"/>
        </w:rPr>
        <w:t>以创文为契机，抓改造、补短板、惠民生，加快老旧小区改造，打造“15分钟生活圈”，建设畅通城区，完善城乡基础设施，着力建设</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全国老旧小区改造示范区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磁湖</w:t>
      </w:r>
      <w:r>
        <w:rPr>
          <w:rFonts w:ascii="Times New Roman" w:hAnsi="Times New Roman" w:eastAsia="黑体" w:cs="Times New Roman"/>
          <w:spacing w:val="-10"/>
          <w:kern w:val="32"/>
          <w:sz w:val="32"/>
          <w:szCs w:val="32"/>
        </w:rPr>
        <w:t>·</w:t>
      </w:r>
      <w:r>
        <w:rPr>
          <w:rFonts w:ascii="Times New Roman" w:hAnsi="Times New Roman" w:eastAsia="仿宋_GB2312" w:cs="Times New Roman"/>
          <w:b/>
          <w:bCs/>
          <w:sz w:val="32"/>
          <w:szCs w:val="32"/>
        </w:rPr>
        <w:t>黄荆山文旅新区</w:t>
      </w:r>
      <w:r>
        <w:rPr>
          <w:rFonts w:ascii="Times New Roman" w:hAnsi="Times New Roman" w:eastAsia="仿宋_GB2312" w:cs="Times New Roman"/>
          <w:sz w:val="32"/>
          <w:szCs w:val="32"/>
        </w:rPr>
        <w:t>。推动磁湖、黄荆山森林公园、西塞神舟文化景区大发展，保护弘扬城市文脉，推进全域旅游开发，着力建设“磁湖</w:t>
      </w:r>
      <w:r>
        <w:rPr>
          <w:rFonts w:ascii="Times New Roman" w:hAnsi="Times New Roman" w:eastAsia="黑体" w:cs="Times New Roman"/>
          <w:spacing w:val="-10"/>
          <w:kern w:val="32"/>
          <w:sz w:val="32"/>
          <w:szCs w:val="32"/>
        </w:rPr>
        <w:t>·</w:t>
      </w:r>
      <w:r>
        <w:rPr>
          <w:rFonts w:ascii="Times New Roman" w:hAnsi="Times New Roman" w:eastAsia="仿宋_GB2312" w:cs="Times New Roman"/>
          <w:sz w:val="32"/>
          <w:szCs w:val="32"/>
        </w:rPr>
        <w:t>黄荆山文旅新区”。</w:t>
      </w:r>
    </w:p>
    <w:p>
      <w:pPr>
        <w:widowControl w:val="0"/>
        <w:spacing w:before="240" w:after="60" w:line="560" w:lineRule="exact"/>
        <w:jc w:val="center"/>
        <w:outlineLvl w:val="1"/>
        <w:rPr>
          <w:rFonts w:ascii="Times New Roman" w:hAnsi="Times New Roman" w:eastAsia="楷体_GB2312" w:cs="Times New Roman"/>
          <w:b/>
          <w:bCs/>
          <w:sz w:val="32"/>
          <w:szCs w:val="32"/>
        </w:rPr>
      </w:pPr>
      <w:bookmarkStart w:id="26" w:name="_Toc47971148"/>
      <w:bookmarkStart w:id="27" w:name="_Toc26691"/>
      <w:r>
        <w:rPr>
          <w:rFonts w:ascii="Times New Roman" w:hAnsi="Times New Roman" w:eastAsia="楷体_GB2312" w:cs="Times New Roman"/>
          <w:b/>
          <w:bCs/>
          <w:sz w:val="32"/>
          <w:szCs w:val="32"/>
        </w:rPr>
        <w:t>第四节</w:t>
      </w:r>
      <w:bookmarkEnd w:id="26"/>
      <w:r>
        <w:rPr>
          <w:rFonts w:ascii="Times New Roman" w:hAnsi="Times New Roman" w:eastAsia="楷体_GB2312" w:cs="Times New Roman"/>
          <w:b/>
          <w:bCs/>
          <w:sz w:val="32"/>
          <w:szCs w:val="32"/>
        </w:rPr>
        <w:t xml:space="preserve">  目标指标</w:t>
      </w:r>
      <w:bookmarkEnd w:id="27"/>
    </w:p>
    <w:p>
      <w:pPr>
        <w:widowControl w:val="0"/>
        <w:spacing w:line="55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二</w:t>
      </w:r>
      <w:r>
        <w:rPr>
          <w:rFonts w:ascii="Times New Roman" w:hAnsi="Times New Roman" w:eastAsia="微软雅黑" w:cs="Times New Roman"/>
          <w:sz w:val="32"/>
          <w:szCs w:val="32"/>
        </w:rPr>
        <w:t>〇</w:t>
      </w:r>
      <w:r>
        <w:rPr>
          <w:rFonts w:ascii="Times New Roman" w:hAnsi="Times New Roman" w:eastAsia="仿宋_GB2312" w:cs="Times New Roman"/>
          <w:b/>
          <w:bCs/>
          <w:sz w:val="32"/>
          <w:szCs w:val="32"/>
        </w:rPr>
        <w:t>三五年远景目标：</w:t>
      </w:r>
      <w:r>
        <w:rPr>
          <w:rFonts w:ascii="Times New Roman" w:hAnsi="Times New Roman" w:eastAsia="仿宋_GB2312" w:cs="Times New Roman"/>
          <w:sz w:val="32"/>
          <w:szCs w:val="32"/>
        </w:rPr>
        <w:t>展望二</w:t>
      </w:r>
      <w:r>
        <w:rPr>
          <w:rFonts w:ascii="Times New Roman" w:hAnsi="Times New Roman" w:eastAsia="微软雅黑" w:cs="Times New Roman"/>
          <w:sz w:val="32"/>
          <w:szCs w:val="32"/>
        </w:rPr>
        <w:t>〇</w:t>
      </w:r>
      <w:r>
        <w:rPr>
          <w:rFonts w:ascii="Times New Roman" w:hAnsi="Times New Roman" w:eastAsia="仿宋_GB2312" w:cs="Times New Roman"/>
          <w:sz w:val="32"/>
          <w:szCs w:val="32"/>
        </w:rPr>
        <w:t>三五年，建成全国最具核心竞争力的特钢产业基地、长江中游港口货运总部中心、黄石沿江高质量发展带先进制造业和现代服务业转型升级示范区，基本实现社会主义现代化。综合经济实力大幅跃升，转型发展走在全市前列，科技创新成为经济增长主动力；城乡一体化基本实现，城市老旧面貌彻底改变，综合功能和比较优势全面增强，建成文化强区、教育强区、人才强区；公共服务均等化、卫生健康现代化基本实现，社会文明程度明显提升，人民生活品质显著改善；广泛形成绿色生产生活方式，生态环境根本好转，美丽西塞山基本建成；基层治理体系和治理能力现代化基本实现，法治西塞山、善治西塞山、平安西塞山建设达到更高水平。</w:t>
      </w:r>
    </w:p>
    <w:p>
      <w:pPr>
        <w:widowControl w:val="0"/>
        <w:spacing w:line="55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“十四五”时期经济社会发展主要目标。</w:t>
      </w:r>
      <w:r>
        <w:rPr>
          <w:rFonts w:ascii="Times New Roman" w:hAnsi="Times New Roman" w:eastAsia="仿宋_GB2312" w:cs="Times New Roman"/>
          <w:sz w:val="32"/>
          <w:szCs w:val="32"/>
        </w:rPr>
        <w:t>锚定二</w:t>
      </w:r>
      <w:r>
        <w:rPr>
          <w:rFonts w:ascii="Times New Roman" w:hAnsi="Times New Roman" w:eastAsia="微软雅黑" w:cs="Times New Roman"/>
          <w:sz w:val="32"/>
          <w:szCs w:val="32"/>
        </w:rPr>
        <w:t>〇</w:t>
      </w:r>
      <w:r>
        <w:rPr>
          <w:rFonts w:ascii="Times New Roman" w:hAnsi="Times New Roman" w:eastAsia="仿宋_GB2312" w:cs="Times New Roman"/>
          <w:sz w:val="32"/>
          <w:szCs w:val="32"/>
        </w:rPr>
        <w:t>三五年远景目标，聚焦聚力高质量发展、</w:t>
      </w:r>
      <w:r>
        <w:rPr>
          <w:rFonts w:hint="eastAsia" w:ascii="Times New Roman" w:hAnsi="Times New Roman" w:eastAsia="仿宋_GB2312" w:cs="Times New Roman"/>
          <w:sz w:val="32"/>
          <w:szCs w:val="32"/>
        </w:rPr>
        <w:t>高品质生活</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高效能治理</w:t>
      </w:r>
      <w:r>
        <w:rPr>
          <w:rFonts w:ascii="Times New Roman" w:hAnsi="Times New Roman" w:eastAsia="仿宋_GB2312" w:cs="Times New Roman"/>
          <w:sz w:val="32"/>
          <w:szCs w:val="32"/>
        </w:rPr>
        <w:t>，今后五年努力实现以下主要目标。</w:t>
      </w:r>
    </w:p>
    <w:p>
      <w:pPr>
        <w:widowControl w:val="0"/>
        <w:spacing w:line="550" w:lineRule="exact"/>
        <w:ind w:firstLine="640" w:firstLineChars="200"/>
        <w:jc w:val="both"/>
        <w:rPr>
          <w:rFonts w:ascii="Times New Roman" w:hAnsi="Times New Roman" w:eastAsia="仿宋_GB2312" w:cs="Times New Roman"/>
          <w:sz w:val="32"/>
          <w:szCs w:val="32"/>
        </w:rPr>
      </w:pPr>
      <w:r>
        <w:rPr>
          <w:rFonts w:ascii="Times New Roman" w:hAnsi="Times New Roman" w:eastAsia="楷体_GB2312" w:cs="Times New Roman"/>
          <w:b/>
          <w:bCs/>
          <w:sz w:val="32"/>
          <w:szCs w:val="32"/>
        </w:rPr>
        <w:t>——</w:t>
      </w:r>
      <w:r>
        <w:rPr>
          <w:rFonts w:ascii="Times New Roman" w:hAnsi="Times New Roman" w:eastAsia="仿宋_GB2312" w:cs="Times New Roman"/>
          <w:b/>
          <w:bCs/>
          <w:sz w:val="32"/>
          <w:szCs w:val="32"/>
        </w:rPr>
        <w:t>综合实力迈上新台阶。</w:t>
      </w:r>
      <w:r>
        <w:rPr>
          <w:rFonts w:ascii="Times New Roman" w:hAnsi="Times New Roman" w:eastAsia="仿宋_GB2312" w:cs="Times New Roman"/>
          <w:sz w:val="32"/>
          <w:szCs w:val="32"/>
        </w:rPr>
        <w:t>全区经济总量达到300亿元，产业基础高级化、产业链现代化水平明显提高，数字赋能先进制造取得明显进展，特钢产业竞争力影响力明显增强，盐田港长江总部全面建成，临港现代服务业实现突破性发展。</w:t>
      </w:r>
    </w:p>
    <w:p>
      <w:pPr>
        <w:widowControl w:val="0"/>
        <w:spacing w:line="550" w:lineRule="exact"/>
        <w:ind w:firstLine="640" w:firstLineChars="200"/>
        <w:jc w:val="both"/>
        <w:rPr>
          <w:rFonts w:ascii="Times New Roman" w:hAnsi="Times New Roman" w:eastAsia="仿宋_GB2312" w:cs="Times New Roman"/>
          <w:sz w:val="32"/>
          <w:szCs w:val="32"/>
        </w:rPr>
      </w:pPr>
      <w:r>
        <w:rPr>
          <w:rFonts w:ascii="Times New Roman" w:hAnsi="Times New Roman" w:eastAsia="楷体_GB2312" w:cs="Times New Roman"/>
          <w:b/>
          <w:bCs/>
          <w:sz w:val="32"/>
          <w:szCs w:val="32"/>
        </w:rPr>
        <w:t>——</w:t>
      </w:r>
      <w:r>
        <w:rPr>
          <w:rFonts w:ascii="Times New Roman" w:hAnsi="Times New Roman" w:eastAsia="仿宋_GB2312" w:cs="Times New Roman"/>
          <w:b/>
          <w:bCs/>
          <w:sz w:val="32"/>
          <w:szCs w:val="32"/>
        </w:rPr>
        <w:t>创新活力实现新跃升。</w:t>
      </w:r>
      <w:r>
        <w:rPr>
          <w:rFonts w:ascii="Times New Roman" w:hAnsi="Times New Roman" w:eastAsia="仿宋_GB2312" w:cs="Times New Roman"/>
          <w:sz w:val="32"/>
          <w:szCs w:val="32"/>
        </w:rPr>
        <w:t>重点领域和关键环节改革取得新突破，营商环境全面优化，规上工业企业研发机构实现全覆盖，高新技术企业产业增加值实现倍增，成功创建省级高新技术产业园区，争创“全国科技创新百强区”</w:t>
      </w:r>
    </w:p>
    <w:p>
      <w:pPr>
        <w:widowControl w:val="0"/>
        <w:spacing w:line="550" w:lineRule="exact"/>
        <w:ind w:firstLine="640" w:firstLineChars="200"/>
        <w:jc w:val="both"/>
        <w:rPr>
          <w:rFonts w:ascii="Times New Roman" w:hAnsi="Times New Roman" w:eastAsia="仿宋_GB2312" w:cs="Times New Roman"/>
          <w:sz w:val="32"/>
          <w:szCs w:val="32"/>
        </w:rPr>
      </w:pPr>
      <w:r>
        <w:rPr>
          <w:rFonts w:ascii="Times New Roman" w:hAnsi="Times New Roman" w:eastAsia="楷体_GB2312" w:cs="Times New Roman"/>
          <w:b/>
          <w:bCs/>
          <w:sz w:val="32"/>
          <w:szCs w:val="32"/>
        </w:rPr>
        <w:t>——</w:t>
      </w:r>
      <w:r>
        <w:rPr>
          <w:rFonts w:ascii="Times New Roman" w:hAnsi="Times New Roman" w:eastAsia="仿宋_GB2312" w:cs="Times New Roman"/>
          <w:b/>
          <w:bCs/>
          <w:sz w:val="32"/>
          <w:szCs w:val="32"/>
        </w:rPr>
        <w:t>区域融合呈现新局面。</w:t>
      </w:r>
      <w:r>
        <w:rPr>
          <w:rFonts w:ascii="Times New Roman" w:hAnsi="Times New Roman" w:eastAsia="仿宋_GB2312" w:cs="Times New Roman"/>
          <w:sz w:val="32"/>
          <w:szCs w:val="32"/>
        </w:rPr>
        <w:t>临港产业园区基本建成，磁湖·黄荆山文旅新区建设成效凸显，城市更新改造、乡村建设深入实施，产城融合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港城融合、城乡融合加速推进，形成全域协同、一体化发展的良好格局。</w:t>
      </w:r>
    </w:p>
    <w:p>
      <w:pPr>
        <w:widowControl w:val="0"/>
        <w:spacing w:line="550" w:lineRule="exact"/>
        <w:ind w:firstLine="640"/>
        <w:jc w:val="both"/>
        <w:rPr>
          <w:rFonts w:ascii="Times New Roman" w:hAnsi="Times New Roman" w:eastAsia="仿宋_GB2312" w:cs="Times New Roman"/>
          <w:sz w:val="32"/>
          <w:szCs w:val="32"/>
        </w:rPr>
      </w:pPr>
      <w:r>
        <w:rPr>
          <w:rFonts w:ascii="Times New Roman" w:hAnsi="Times New Roman" w:eastAsia="楷体_GB2312" w:cs="Times New Roman"/>
          <w:b/>
          <w:bCs/>
          <w:sz w:val="32"/>
          <w:szCs w:val="32"/>
        </w:rPr>
        <w:t>——</w:t>
      </w:r>
      <w:r>
        <w:rPr>
          <w:rFonts w:ascii="Times New Roman" w:hAnsi="Times New Roman" w:eastAsia="仿宋_GB2312" w:cs="Times New Roman"/>
          <w:b/>
          <w:bCs/>
          <w:sz w:val="32"/>
          <w:szCs w:val="32"/>
        </w:rPr>
        <w:t>民生福祉达到新水平。</w:t>
      </w:r>
      <w:r>
        <w:rPr>
          <w:rFonts w:ascii="Times New Roman" w:hAnsi="Times New Roman" w:eastAsia="仿宋_GB2312" w:cs="Times New Roman"/>
          <w:sz w:val="32"/>
          <w:szCs w:val="32"/>
        </w:rPr>
        <w:t>城乡居民收入增长和经济增长基本同步，基本公共服务均等化水平明显提高，多层次社会保障体系更加健全，“15分钟生活圈”全面形成，生态环境持续改善，城市宜居功能和生活品质显著提升。</w:t>
      </w:r>
    </w:p>
    <w:p>
      <w:pPr>
        <w:widowControl w:val="0"/>
        <w:spacing w:line="550" w:lineRule="exact"/>
        <w:ind w:firstLine="640"/>
        <w:jc w:val="both"/>
        <w:rPr>
          <w:rFonts w:ascii="Times New Roman" w:hAnsi="Times New Roman" w:eastAsia="仿宋_GB2312" w:cs="Times New Roman"/>
          <w:sz w:val="32"/>
          <w:szCs w:val="32"/>
        </w:rPr>
      </w:pPr>
      <w:r>
        <w:rPr>
          <w:rFonts w:ascii="Times New Roman" w:hAnsi="Times New Roman" w:eastAsia="楷体_GB2312" w:cs="Times New Roman"/>
          <w:b/>
          <w:bCs/>
          <w:sz w:val="32"/>
          <w:szCs w:val="32"/>
        </w:rPr>
        <w:t>——</w:t>
      </w:r>
      <w:r>
        <w:rPr>
          <w:rFonts w:ascii="Times New Roman" w:hAnsi="Times New Roman" w:eastAsia="仿宋_GB2312" w:cs="Times New Roman"/>
          <w:b/>
          <w:bCs/>
          <w:sz w:val="32"/>
          <w:szCs w:val="32"/>
        </w:rPr>
        <w:t>社会文明程度得到新提高。</w:t>
      </w:r>
      <w:r>
        <w:rPr>
          <w:rFonts w:ascii="Times New Roman" w:hAnsi="Times New Roman" w:eastAsia="仿宋_GB2312" w:cs="Times New Roman"/>
          <w:sz w:val="32"/>
          <w:szCs w:val="32"/>
        </w:rPr>
        <w:t>社会主义核心价值观更加深入人心，诚信守法、向上向善的氛围更加浓厚，公共文化服务体系更加完善，文化遗产开发利用取得实质性进展，文明城市创建全市领先。</w:t>
      </w:r>
    </w:p>
    <w:p>
      <w:pPr>
        <w:widowControl w:val="0"/>
        <w:spacing w:line="550" w:lineRule="exact"/>
        <w:ind w:firstLine="640"/>
        <w:jc w:val="both"/>
        <w:rPr>
          <w:rFonts w:ascii="Times New Roman" w:hAnsi="Times New Roman" w:eastAsia="仿宋_GB2312" w:cs="Times New Roman"/>
          <w:sz w:val="32"/>
          <w:szCs w:val="32"/>
        </w:rPr>
      </w:pPr>
      <w:r>
        <w:rPr>
          <w:rFonts w:ascii="Times New Roman" w:hAnsi="Times New Roman" w:eastAsia="楷体_GB2312" w:cs="Times New Roman"/>
          <w:b/>
          <w:bCs/>
          <w:sz w:val="32"/>
          <w:szCs w:val="32"/>
        </w:rPr>
        <w:t>——</w:t>
      </w:r>
      <w:r>
        <w:rPr>
          <w:rFonts w:ascii="Times New Roman" w:hAnsi="Times New Roman" w:eastAsia="仿宋_GB2312" w:cs="Times New Roman"/>
          <w:b/>
          <w:bCs/>
          <w:sz w:val="32"/>
          <w:szCs w:val="32"/>
        </w:rPr>
        <w:t>基层治理效能得到新提升。</w:t>
      </w:r>
      <w:r>
        <w:rPr>
          <w:rFonts w:ascii="Times New Roman" w:hAnsi="Times New Roman" w:eastAsia="仿宋_GB2312" w:cs="Times New Roman"/>
          <w:sz w:val="32"/>
          <w:szCs w:val="32"/>
        </w:rPr>
        <w:t>社会主义民主法治更加健全，社会公平正义进一步彰显，防范化解重大风险、应急管理、防灾减灾能力不断增强，“一体两翼”基层治理格局不断完善，再夺全国社会治安综合治理“长安杯”。</w:t>
      </w:r>
    </w:p>
    <w:p>
      <w:pPr>
        <w:widowControl w:val="0"/>
        <w:spacing w:before="156" w:beforeLines="50" w:line="560" w:lineRule="exact"/>
        <w:jc w:val="center"/>
        <w:rPr>
          <w:rFonts w:ascii="Times New Roman" w:hAnsi="Times New Roman" w:eastAsia="仿宋_GB2312" w:cs="Times New Roman"/>
          <w:sz w:val="32"/>
          <w:szCs w:val="32"/>
        </w:rPr>
      </w:pPr>
      <w:r>
        <w:rPr>
          <w:rFonts w:ascii="Times New Roman" w:hAnsi="Times New Roman" w:eastAsia="仿宋" w:cs="Times New Roman"/>
          <w:b/>
          <w:bCs/>
          <w:sz w:val="28"/>
          <w:szCs w:val="28"/>
        </w:rPr>
        <w:t>专栏2-1 西塞山区“十四五”时期经济社会发展主要指标</w:t>
      </w:r>
    </w:p>
    <w:tbl>
      <w:tblPr>
        <w:tblStyle w:val="10"/>
        <w:tblW w:w="9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6"/>
        <w:gridCol w:w="456"/>
        <w:gridCol w:w="3493"/>
        <w:gridCol w:w="823"/>
        <w:gridCol w:w="992"/>
        <w:gridCol w:w="992"/>
        <w:gridCol w:w="1134"/>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6" w:type="dxa"/>
            <w:vMerge w:val="restart"/>
            <w:noWrap w:val="0"/>
            <w:vAlign w:val="center"/>
          </w:tcPr>
          <w:p>
            <w:pPr>
              <w:widowControl w:val="0"/>
              <w:jc w:val="center"/>
              <w:rPr>
                <w:rFonts w:ascii="Times New Roman" w:hAnsi="Times New Roman" w:eastAsia="仿宋_GB2312" w:cs="Times New Roman"/>
                <w:b/>
                <w:bCs/>
                <w:spacing w:val="-10"/>
                <w:sz w:val="21"/>
                <w:szCs w:val="21"/>
              </w:rPr>
            </w:pPr>
            <w:r>
              <w:rPr>
                <w:rFonts w:ascii="Times New Roman" w:hAnsi="Times New Roman" w:eastAsia="仿宋_GB2312" w:cs="Times New Roman"/>
                <w:b/>
                <w:bCs/>
                <w:spacing w:val="-10"/>
                <w:sz w:val="21"/>
                <w:szCs w:val="21"/>
              </w:rPr>
              <w:t>类型</w:t>
            </w:r>
          </w:p>
        </w:tc>
        <w:tc>
          <w:tcPr>
            <w:tcW w:w="456" w:type="dxa"/>
            <w:vMerge w:val="restart"/>
            <w:noWrap w:val="0"/>
            <w:vAlign w:val="center"/>
          </w:tcPr>
          <w:p>
            <w:pPr>
              <w:widowControl w:val="0"/>
              <w:jc w:val="center"/>
              <w:rPr>
                <w:rFonts w:ascii="Times New Roman" w:hAnsi="Times New Roman" w:eastAsia="仿宋_GB2312" w:cs="Times New Roman"/>
                <w:b/>
                <w:bCs/>
                <w:spacing w:val="-10"/>
                <w:sz w:val="21"/>
                <w:szCs w:val="21"/>
              </w:rPr>
            </w:pPr>
            <w:r>
              <w:rPr>
                <w:rFonts w:ascii="Times New Roman" w:hAnsi="Times New Roman" w:eastAsia="仿宋_GB2312" w:cs="Times New Roman"/>
                <w:b/>
                <w:bCs/>
                <w:spacing w:val="-10"/>
                <w:sz w:val="21"/>
                <w:szCs w:val="21"/>
              </w:rPr>
              <w:t>序号</w:t>
            </w:r>
          </w:p>
        </w:tc>
        <w:tc>
          <w:tcPr>
            <w:tcW w:w="3493" w:type="dxa"/>
            <w:vMerge w:val="restart"/>
            <w:noWrap w:val="0"/>
            <w:vAlign w:val="center"/>
          </w:tcPr>
          <w:p>
            <w:pPr>
              <w:widowControl w:val="0"/>
              <w:jc w:val="center"/>
              <w:rPr>
                <w:rFonts w:ascii="Times New Roman" w:hAnsi="Times New Roman" w:eastAsia="仿宋_GB2312" w:cs="Times New Roman"/>
                <w:b/>
                <w:bCs/>
                <w:spacing w:val="-10"/>
                <w:sz w:val="21"/>
                <w:szCs w:val="21"/>
              </w:rPr>
            </w:pPr>
            <w:r>
              <w:rPr>
                <w:rFonts w:ascii="Times New Roman" w:hAnsi="Times New Roman" w:eastAsia="仿宋_GB2312" w:cs="Times New Roman"/>
                <w:b/>
                <w:bCs/>
                <w:spacing w:val="-10"/>
                <w:sz w:val="21"/>
                <w:szCs w:val="21"/>
              </w:rPr>
              <w:t>指标名称</w:t>
            </w:r>
          </w:p>
        </w:tc>
        <w:tc>
          <w:tcPr>
            <w:tcW w:w="823" w:type="dxa"/>
            <w:vMerge w:val="restart"/>
            <w:noWrap w:val="0"/>
            <w:vAlign w:val="center"/>
          </w:tcPr>
          <w:p>
            <w:pPr>
              <w:widowControl w:val="0"/>
              <w:jc w:val="center"/>
              <w:rPr>
                <w:rFonts w:ascii="Times New Roman" w:hAnsi="Times New Roman" w:eastAsia="仿宋_GB2312" w:cs="Times New Roman"/>
                <w:b/>
                <w:bCs/>
                <w:spacing w:val="-10"/>
                <w:sz w:val="21"/>
                <w:szCs w:val="21"/>
              </w:rPr>
            </w:pPr>
            <w:r>
              <w:rPr>
                <w:rFonts w:ascii="Times New Roman" w:hAnsi="Times New Roman" w:eastAsia="仿宋_GB2312" w:cs="Times New Roman"/>
                <w:b/>
                <w:bCs/>
                <w:spacing w:val="-10"/>
                <w:sz w:val="21"/>
                <w:szCs w:val="21"/>
              </w:rPr>
              <w:t>单位</w:t>
            </w:r>
          </w:p>
        </w:tc>
        <w:tc>
          <w:tcPr>
            <w:tcW w:w="992" w:type="dxa"/>
            <w:vMerge w:val="restart"/>
            <w:noWrap w:val="0"/>
            <w:vAlign w:val="center"/>
          </w:tcPr>
          <w:p>
            <w:pPr>
              <w:widowControl w:val="0"/>
              <w:jc w:val="center"/>
              <w:rPr>
                <w:rFonts w:ascii="Times New Roman" w:hAnsi="Times New Roman" w:eastAsia="仿宋_GB2312" w:cs="Times New Roman"/>
                <w:b/>
                <w:bCs/>
                <w:spacing w:val="-10"/>
                <w:sz w:val="21"/>
                <w:szCs w:val="21"/>
              </w:rPr>
            </w:pPr>
            <w:r>
              <w:rPr>
                <w:rFonts w:ascii="Times New Roman" w:hAnsi="Times New Roman" w:eastAsia="仿宋_GB2312" w:cs="Times New Roman"/>
                <w:b/>
                <w:bCs/>
                <w:spacing w:val="-10"/>
                <w:sz w:val="21"/>
                <w:szCs w:val="21"/>
              </w:rPr>
              <w:t>2020年基数</w:t>
            </w:r>
          </w:p>
        </w:tc>
        <w:tc>
          <w:tcPr>
            <w:tcW w:w="2126" w:type="dxa"/>
            <w:gridSpan w:val="2"/>
            <w:noWrap w:val="0"/>
            <w:vAlign w:val="center"/>
          </w:tcPr>
          <w:p>
            <w:pPr>
              <w:widowControl w:val="0"/>
              <w:jc w:val="center"/>
              <w:rPr>
                <w:rFonts w:ascii="Times New Roman" w:hAnsi="Times New Roman" w:eastAsia="仿宋_GB2312" w:cs="Times New Roman"/>
                <w:b/>
                <w:bCs/>
                <w:spacing w:val="-10"/>
                <w:sz w:val="21"/>
                <w:szCs w:val="21"/>
              </w:rPr>
            </w:pPr>
            <w:r>
              <w:rPr>
                <w:rFonts w:ascii="Times New Roman" w:hAnsi="Times New Roman" w:eastAsia="仿宋_GB2312" w:cs="Times New Roman"/>
                <w:b/>
                <w:bCs/>
                <w:spacing w:val="-10"/>
                <w:sz w:val="21"/>
                <w:szCs w:val="21"/>
              </w:rPr>
              <w:t>2025年</w:t>
            </w:r>
          </w:p>
        </w:tc>
        <w:tc>
          <w:tcPr>
            <w:tcW w:w="1031" w:type="dxa"/>
            <w:vMerge w:val="restart"/>
            <w:noWrap w:val="0"/>
            <w:vAlign w:val="center"/>
          </w:tcPr>
          <w:p>
            <w:pPr>
              <w:widowControl w:val="0"/>
              <w:jc w:val="center"/>
              <w:rPr>
                <w:rFonts w:ascii="Times New Roman" w:hAnsi="Times New Roman" w:eastAsia="仿宋_GB2312" w:cs="Times New Roman"/>
                <w:b/>
                <w:bCs/>
                <w:spacing w:val="-10"/>
                <w:sz w:val="21"/>
                <w:szCs w:val="21"/>
              </w:rPr>
            </w:pPr>
            <w:r>
              <w:rPr>
                <w:rFonts w:ascii="Times New Roman" w:hAnsi="Times New Roman" w:eastAsia="仿宋_GB2312" w:cs="Times New Roman"/>
                <w:b/>
                <w:bCs/>
                <w:spacing w:val="-10"/>
                <w:sz w:val="21"/>
                <w:szCs w:val="21"/>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616" w:type="dxa"/>
            <w:vMerge w:val="continue"/>
            <w:noWrap w:val="0"/>
            <w:vAlign w:val="center"/>
          </w:tcPr>
          <w:p>
            <w:pPr>
              <w:widowControl w:val="0"/>
              <w:jc w:val="center"/>
              <w:rPr>
                <w:rFonts w:ascii="Times New Roman" w:hAnsi="Times New Roman" w:eastAsia="仿宋_GB2312" w:cs="Times New Roman"/>
                <w:b/>
                <w:bCs/>
                <w:spacing w:val="-10"/>
                <w:sz w:val="21"/>
                <w:szCs w:val="21"/>
              </w:rPr>
            </w:pPr>
          </w:p>
        </w:tc>
        <w:tc>
          <w:tcPr>
            <w:tcW w:w="456" w:type="dxa"/>
            <w:vMerge w:val="continue"/>
            <w:noWrap w:val="0"/>
            <w:vAlign w:val="center"/>
          </w:tcPr>
          <w:p>
            <w:pPr>
              <w:widowControl w:val="0"/>
              <w:jc w:val="center"/>
              <w:rPr>
                <w:rFonts w:ascii="Times New Roman" w:hAnsi="Times New Roman" w:eastAsia="仿宋_GB2312" w:cs="Times New Roman"/>
                <w:b/>
                <w:bCs/>
                <w:spacing w:val="-10"/>
                <w:sz w:val="21"/>
                <w:szCs w:val="21"/>
              </w:rPr>
            </w:pPr>
          </w:p>
        </w:tc>
        <w:tc>
          <w:tcPr>
            <w:tcW w:w="3493" w:type="dxa"/>
            <w:vMerge w:val="continue"/>
            <w:noWrap w:val="0"/>
            <w:vAlign w:val="center"/>
          </w:tcPr>
          <w:p>
            <w:pPr>
              <w:widowControl w:val="0"/>
              <w:jc w:val="center"/>
              <w:rPr>
                <w:rFonts w:ascii="Times New Roman" w:hAnsi="Times New Roman" w:eastAsia="仿宋_GB2312" w:cs="Times New Roman"/>
                <w:b/>
                <w:bCs/>
                <w:spacing w:val="-10"/>
                <w:sz w:val="21"/>
                <w:szCs w:val="21"/>
              </w:rPr>
            </w:pPr>
          </w:p>
        </w:tc>
        <w:tc>
          <w:tcPr>
            <w:tcW w:w="823" w:type="dxa"/>
            <w:vMerge w:val="continue"/>
            <w:noWrap w:val="0"/>
            <w:vAlign w:val="center"/>
          </w:tcPr>
          <w:p>
            <w:pPr>
              <w:widowControl w:val="0"/>
              <w:jc w:val="center"/>
              <w:rPr>
                <w:rFonts w:ascii="Times New Roman" w:hAnsi="Times New Roman" w:eastAsia="仿宋_GB2312" w:cs="Times New Roman"/>
                <w:b/>
                <w:bCs/>
                <w:spacing w:val="-10"/>
                <w:sz w:val="21"/>
                <w:szCs w:val="21"/>
              </w:rPr>
            </w:pPr>
          </w:p>
        </w:tc>
        <w:tc>
          <w:tcPr>
            <w:tcW w:w="992" w:type="dxa"/>
            <w:vMerge w:val="continue"/>
            <w:noWrap w:val="0"/>
            <w:vAlign w:val="center"/>
          </w:tcPr>
          <w:p>
            <w:pPr>
              <w:widowControl w:val="0"/>
              <w:jc w:val="center"/>
              <w:rPr>
                <w:rFonts w:ascii="Times New Roman" w:hAnsi="Times New Roman" w:eastAsia="仿宋_GB2312" w:cs="Times New Roman"/>
                <w:b/>
                <w:bCs/>
                <w:spacing w:val="-10"/>
                <w:sz w:val="21"/>
                <w:szCs w:val="21"/>
              </w:rPr>
            </w:pPr>
          </w:p>
        </w:tc>
        <w:tc>
          <w:tcPr>
            <w:tcW w:w="992" w:type="dxa"/>
            <w:noWrap w:val="0"/>
            <w:vAlign w:val="center"/>
          </w:tcPr>
          <w:p>
            <w:pPr>
              <w:widowControl w:val="0"/>
              <w:jc w:val="center"/>
              <w:rPr>
                <w:rFonts w:ascii="Times New Roman" w:hAnsi="Times New Roman" w:eastAsia="仿宋_GB2312" w:cs="Times New Roman"/>
                <w:b/>
                <w:bCs/>
                <w:spacing w:val="-10"/>
                <w:sz w:val="21"/>
                <w:szCs w:val="21"/>
              </w:rPr>
            </w:pPr>
            <w:r>
              <w:rPr>
                <w:rFonts w:ascii="Times New Roman" w:hAnsi="Times New Roman" w:eastAsia="仿宋_GB2312" w:cs="Times New Roman"/>
                <w:b/>
                <w:bCs/>
                <w:spacing w:val="-10"/>
                <w:sz w:val="21"/>
                <w:szCs w:val="21"/>
              </w:rPr>
              <w:t>总量</w:t>
            </w:r>
          </w:p>
        </w:tc>
        <w:tc>
          <w:tcPr>
            <w:tcW w:w="1134" w:type="dxa"/>
            <w:noWrap w:val="0"/>
            <w:vAlign w:val="center"/>
          </w:tcPr>
          <w:p>
            <w:pPr>
              <w:widowControl w:val="0"/>
              <w:jc w:val="center"/>
              <w:rPr>
                <w:rFonts w:ascii="Times New Roman" w:hAnsi="Times New Roman" w:eastAsia="仿宋_GB2312" w:cs="Times New Roman"/>
                <w:b/>
                <w:bCs/>
                <w:spacing w:val="-10"/>
                <w:sz w:val="21"/>
                <w:szCs w:val="21"/>
              </w:rPr>
            </w:pPr>
            <w:r>
              <w:rPr>
                <w:rFonts w:ascii="Times New Roman" w:hAnsi="Times New Roman" w:eastAsia="仿宋_GB2312" w:cs="Times New Roman"/>
                <w:b/>
                <w:bCs/>
                <w:spacing w:val="-10"/>
                <w:sz w:val="21"/>
                <w:szCs w:val="21"/>
              </w:rPr>
              <w:t>年均</w:t>
            </w:r>
          </w:p>
          <w:p>
            <w:pPr>
              <w:widowControl w:val="0"/>
              <w:jc w:val="center"/>
              <w:rPr>
                <w:rFonts w:ascii="Times New Roman" w:hAnsi="Times New Roman" w:eastAsia="仿宋_GB2312" w:cs="Times New Roman"/>
                <w:b/>
                <w:bCs/>
                <w:spacing w:val="-10"/>
                <w:sz w:val="21"/>
                <w:szCs w:val="21"/>
              </w:rPr>
            </w:pPr>
            <w:r>
              <w:rPr>
                <w:rFonts w:ascii="Times New Roman" w:hAnsi="Times New Roman" w:eastAsia="仿宋_GB2312" w:cs="Times New Roman"/>
                <w:b/>
                <w:bCs/>
                <w:spacing w:val="-10"/>
                <w:sz w:val="21"/>
                <w:szCs w:val="21"/>
              </w:rPr>
              <w:t>[累计]</w:t>
            </w:r>
          </w:p>
        </w:tc>
        <w:tc>
          <w:tcPr>
            <w:tcW w:w="1031" w:type="dxa"/>
            <w:vMerge w:val="continue"/>
            <w:noWrap w:val="0"/>
            <w:vAlign w:val="center"/>
          </w:tcPr>
          <w:p>
            <w:pPr>
              <w:widowControl w:val="0"/>
              <w:jc w:val="center"/>
              <w:rPr>
                <w:rFonts w:ascii="Times New Roman" w:hAnsi="Times New Roman" w:eastAsia="仿宋_GB2312" w:cs="Times New Roman"/>
                <w:b/>
                <w:bCs/>
                <w:spacing w:val="-1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6" w:type="dxa"/>
            <w:vMerge w:val="restart"/>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经济发展</w:t>
            </w:r>
          </w:p>
        </w:tc>
        <w:tc>
          <w:tcPr>
            <w:tcW w:w="456" w:type="dxa"/>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1</w:t>
            </w:r>
          </w:p>
        </w:tc>
        <w:tc>
          <w:tcPr>
            <w:tcW w:w="3493" w:type="dxa"/>
            <w:noWrap w:val="0"/>
            <w:vAlign w:val="center"/>
          </w:tcPr>
          <w:p>
            <w:pPr>
              <w:widowControl w:val="0"/>
              <w:spacing w:line="380" w:lineRule="exact"/>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地区生产总值（GDP）</w:t>
            </w:r>
          </w:p>
        </w:tc>
        <w:tc>
          <w:tcPr>
            <w:tcW w:w="823"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亿元</w:t>
            </w:r>
          </w:p>
        </w:tc>
        <w:tc>
          <w:tcPr>
            <w:tcW w:w="992"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200</w:t>
            </w:r>
          </w:p>
        </w:tc>
        <w:tc>
          <w:tcPr>
            <w:tcW w:w="992"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300-360</w:t>
            </w:r>
          </w:p>
        </w:tc>
        <w:tc>
          <w:tcPr>
            <w:tcW w:w="1134"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8.1以上</w:t>
            </w:r>
          </w:p>
        </w:tc>
        <w:tc>
          <w:tcPr>
            <w:tcW w:w="1031"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6" w:type="dxa"/>
            <w:vMerge w:val="continue"/>
            <w:noWrap w:val="0"/>
            <w:vAlign w:val="center"/>
          </w:tcPr>
          <w:p>
            <w:pPr>
              <w:widowControl w:val="0"/>
              <w:jc w:val="center"/>
              <w:rPr>
                <w:rFonts w:ascii="Times New Roman" w:hAnsi="Times New Roman" w:eastAsia="仿宋_GB2312" w:cs="Times New Roman"/>
                <w:spacing w:val="-10"/>
                <w:sz w:val="21"/>
                <w:szCs w:val="21"/>
              </w:rPr>
            </w:pPr>
          </w:p>
        </w:tc>
        <w:tc>
          <w:tcPr>
            <w:tcW w:w="456" w:type="dxa"/>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2</w:t>
            </w:r>
          </w:p>
        </w:tc>
        <w:tc>
          <w:tcPr>
            <w:tcW w:w="3493" w:type="dxa"/>
            <w:noWrap w:val="0"/>
            <w:vAlign w:val="center"/>
          </w:tcPr>
          <w:p>
            <w:pP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lang w:bidi="ar"/>
              </w:rPr>
              <w:t>规模以上工业增加值</w:t>
            </w:r>
          </w:p>
        </w:tc>
        <w:tc>
          <w:tcPr>
            <w:tcW w:w="823"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亿元</w:t>
            </w:r>
          </w:p>
        </w:tc>
        <w:tc>
          <w:tcPr>
            <w:tcW w:w="992"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75</w:t>
            </w:r>
          </w:p>
        </w:tc>
        <w:tc>
          <w:tcPr>
            <w:tcW w:w="992"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hint="eastAsia" w:ascii="Times New Roman" w:hAnsi="Times New Roman" w:eastAsia="仿宋_GB2312" w:cs="Times New Roman"/>
                <w:spacing w:val="-10"/>
                <w:sz w:val="21"/>
                <w:szCs w:val="21"/>
              </w:rPr>
              <w:t>132</w:t>
            </w:r>
          </w:p>
        </w:tc>
        <w:tc>
          <w:tcPr>
            <w:tcW w:w="1134"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hint="eastAsia" w:ascii="Times New Roman" w:hAnsi="Times New Roman" w:eastAsia="仿宋_GB2312" w:cs="Times New Roman"/>
                <w:spacing w:val="-10"/>
                <w:sz w:val="21"/>
                <w:szCs w:val="21"/>
              </w:rPr>
              <w:t>12</w:t>
            </w:r>
          </w:p>
        </w:tc>
        <w:tc>
          <w:tcPr>
            <w:tcW w:w="1031"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6" w:type="dxa"/>
            <w:vMerge w:val="continue"/>
            <w:noWrap w:val="0"/>
            <w:vAlign w:val="center"/>
          </w:tcPr>
          <w:p>
            <w:pPr>
              <w:widowControl w:val="0"/>
              <w:jc w:val="center"/>
              <w:rPr>
                <w:rFonts w:ascii="Times New Roman" w:hAnsi="Times New Roman" w:eastAsia="仿宋_GB2312" w:cs="Times New Roman"/>
                <w:spacing w:val="-10"/>
                <w:sz w:val="21"/>
                <w:szCs w:val="21"/>
              </w:rPr>
            </w:pPr>
          </w:p>
        </w:tc>
        <w:tc>
          <w:tcPr>
            <w:tcW w:w="456" w:type="dxa"/>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3</w:t>
            </w:r>
          </w:p>
        </w:tc>
        <w:tc>
          <w:tcPr>
            <w:tcW w:w="3493" w:type="dxa"/>
            <w:noWrap w:val="0"/>
            <w:vAlign w:val="center"/>
          </w:tcPr>
          <w:p>
            <w:pP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lang w:bidi="ar"/>
              </w:rPr>
              <w:t>固定资产投资</w:t>
            </w:r>
          </w:p>
        </w:tc>
        <w:tc>
          <w:tcPr>
            <w:tcW w:w="823"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亿元</w:t>
            </w:r>
          </w:p>
        </w:tc>
        <w:tc>
          <w:tcPr>
            <w:tcW w:w="992"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57.58</w:t>
            </w:r>
          </w:p>
        </w:tc>
        <w:tc>
          <w:tcPr>
            <w:tcW w:w="992"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101</w:t>
            </w:r>
          </w:p>
        </w:tc>
        <w:tc>
          <w:tcPr>
            <w:tcW w:w="1134"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12</w:t>
            </w:r>
          </w:p>
        </w:tc>
        <w:tc>
          <w:tcPr>
            <w:tcW w:w="1031"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6" w:type="dxa"/>
            <w:vMerge w:val="continue"/>
            <w:noWrap w:val="0"/>
            <w:vAlign w:val="center"/>
          </w:tcPr>
          <w:p>
            <w:pPr>
              <w:widowControl w:val="0"/>
              <w:jc w:val="center"/>
              <w:rPr>
                <w:rFonts w:ascii="Times New Roman" w:hAnsi="Times New Roman" w:eastAsia="仿宋_GB2312" w:cs="Times New Roman"/>
                <w:spacing w:val="-10"/>
                <w:sz w:val="21"/>
                <w:szCs w:val="21"/>
              </w:rPr>
            </w:pPr>
          </w:p>
        </w:tc>
        <w:tc>
          <w:tcPr>
            <w:tcW w:w="456" w:type="dxa"/>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4</w:t>
            </w:r>
          </w:p>
        </w:tc>
        <w:tc>
          <w:tcPr>
            <w:tcW w:w="3493" w:type="dxa"/>
            <w:noWrap w:val="0"/>
            <w:vAlign w:val="center"/>
          </w:tcPr>
          <w:p>
            <w:pP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lang w:bidi="ar"/>
              </w:rPr>
              <w:t>地方一般公共预算收入</w:t>
            </w:r>
          </w:p>
        </w:tc>
        <w:tc>
          <w:tcPr>
            <w:tcW w:w="823"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亿元</w:t>
            </w:r>
          </w:p>
        </w:tc>
        <w:tc>
          <w:tcPr>
            <w:tcW w:w="992"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5.28</w:t>
            </w:r>
          </w:p>
        </w:tc>
        <w:tc>
          <w:tcPr>
            <w:tcW w:w="992"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11</w:t>
            </w:r>
          </w:p>
        </w:tc>
        <w:tc>
          <w:tcPr>
            <w:tcW w:w="1134"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15</w:t>
            </w:r>
          </w:p>
        </w:tc>
        <w:tc>
          <w:tcPr>
            <w:tcW w:w="1031"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6" w:type="dxa"/>
            <w:vMerge w:val="continue"/>
            <w:noWrap w:val="0"/>
            <w:vAlign w:val="center"/>
          </w:tcPr>
          <w:p>
            <w:pPr>
              <w:widowControl w:val="0"/>
              <w:jc w:val="center"/>
              <w:rPr>
                <w:rFonts w:ascii="Times New Roman" w:hAnsi="Times New Roman" w:eastAsia="仿宋_GB2312" w:cs="Times New Roman"/>
                <w:spacing w:val="-10"/>
                <w:sz w:val="21"/>
                <w:szCs w:val="21"/>
              </w:rPr>
            </w:pPr>
          </w:p>
        </w:tc>
        <w:tc>
          <w:tcPr>
            <w:tcW w:w="456" w:type="dxa"/>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5</w:t>
            </w:r>
          </w:p>
        </w:tc>
        <w:tc>
          <w:tcPr>
            <w:tcW w:w="3493" w:type="dxa"/>
            <w:noWrap w:val="0"/>
            <w:vAlign w:val="center"/>
          </w:tcPr>
          <w:p>
            <w:pP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lang w:bidi="ar"/>
              </w:rPr>
              <w:t>社会消费品零售总额</w:t>
            </w:r>
          </w:p>
        </w:tc>
        <w:tc>
          <w:tcPr>
            <w:tcW w:w="823"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亿元</w:t>
            </w:r>
          </w:p>
        </w:tc>
        <w:tc>
          <w:tcPr>
            <w:tcW w:w="992"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63</w:t>
            </w:r>
          </w:p>
        </w:tc>
        <w:tc>
          <w:tcPr>
            <w:tcW w:w="992"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111</w:t>
            </w:r>
          </w:p>
        </w:tc>
        <w:tc>
          <w:tcPr>
            <w:tcW w:w="1134"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12</w:t>
            </w:r>
          </w:p>
        </w:tc>
        <w:tc>
          <w:tcPr>
            <w:tcW w:w="1031"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6" w:type="dxa"/>
            <w:vMerge w:val="continue"/>
            <w:noWrap w:val="0"/>
            <w:vAlign w:val="center"/>
          </w:tcPr>
          <w:p>
            <w:pPr>
              <w:widowControl w:val="0"/>
              <w:jc w:val="center"/>
              <w:rPr>
                <w:rFonts w:ascii="Times New Roman" w:hAnsi="Times New Roman" w:eastAsia="仿宋_GB2312" w:cs="Times New Roman"/>
                <w:spacing w:val="-10"/>
                <w:sz w:val="21"/>
                <w:szCs w:val="21"/>
              </w:rPr>
            </w:pPr>
          </w:p>
        </w:tc>
        <w:tc>
          <w:tcPr>
            <w:tcW w:w="456" w:type="dxa"/>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6</w:t>
            </w:r>
          </w:p>
        </w:tc>
        <w:tc>
          <w:tcPr>
            <w:tcW w:w="3493" w:type="dxa"/>
            <w:noWrap w:val="0"/>
            <w:vAlign w:val="center"/>
          </w:tcPr>
          <w:p>
            <w:pPr>
              <w:textAlignment w:val="center"/>
              <w:rPr>
                <w:rFonts w:ascii="Times New Roman" w:hAnsi="Times New Roman" w:eastAsia="仿宋_GB2312" w:cs="Times New Roman"/>
                <w:sz w:val="21"/>
                <w:szCs w:val="21"/>
              </w:rPr>
            </w:pPr>
            <w:r>
              <w:rPr>
                <w:rFonts w:ascii="Times New Roman" w:hAnsi="Times New Roman" w:eastAsia="仿宋_GB2312" w:cs="Times New Roman"/>
                <w:sz w:val="21"/>
                <w:szCs w:val="21"/>
                <w:lang w:bidi="ar"/>
              </w:rPr>
              <w:t>外贸出口总额</w:t>
            </w:r>
          </w:p>
        </w:tc>
        <w:tc>
          <w:tcPr>
            <w:tcW w:w="823"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亿元</w:t>
            </w:r>
          </w:p>
        </w:tc>
        <w:tc>
          <w:tcPr>
            <w:tcW w:w="992"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30.14</w:t>
            </w:r>
          </w:p>
        </w:tc>
        <w:tc>
          <w:tcPr>
            <w:tcW w:w="992"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48</w:t>
            </w:r>
          </w:p>
        </w:tc>
        <w:tc>
          <w:tcPr>
            <w:tcW w:w="1134"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10</w:t>
            </w:r>
          </w:p>
        </w:tc>
        <w:tc>
          <w:tcPr>
            <w:tcW w:w="1031"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6" w:type="dxa"/>
            <w:vMerge w:val="continue"/>
            <w:noWrap w:val="0"/>
            <w:vAlign w:val="center"/>
          </w:tcPr>
          <w:p>
            <w:pPr>
              <w:widowControl w:val="0"/>
              <w:jc w:val="center"/>
              <w:rPr>
                <w:rFonts w:ascii="Times New Roman" w:hAnsi="Times New Roman" w:eastAsia="仿宋_GB2312" w:cs="Times New Roman"/>
                <w:spacing w:val="-10"/>
                <w:sz w:val="21"/>
                <w:szCs w:val="21"/>
              </w:rPr>
            </w:pPr>
          </w:p>
        </w:tc>
        <w:tc>
          <w:tcPr>
            <w:tcW w:w="456" w:type="dxa"/>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7</w:t>
            </w:r>
          </w:p>
        </w:tc>
        <w:tc>
          <w:tcPr>
            <w:tcW w:w="3493" w:type="dxa"/>
            <w:noWrap w:val="0"/>
            <w:vAlign w:val="center"/>
          </w:tcPr>
          <w:p>
            <w:pPr>
              <w:widowControl w:val="0"/>
              <w:spacing w:line="380" w:lineRule="exact"/>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服务业增加值比重</w:t>
            </w:r>
          </w:p>
        </w:tc>
        <w:tc>
          <w:tcPr>
            <w:tcW w:w="823"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w:t>
            </w:r>
          </w:p>
        </w:tc>
        <w:tc>
          <w:tcPr>
            <w:tcW w:w="992"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43</w:t>
            </w:r>
          </w:p>
        </w:tc>
        <w:tc>
          <w:tcPr>
            <w:tcW w:w="992"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45</w:t>
            </w:r>
          </w:p>
        </w:tc>
        <w:tc>
          <w:tcPr>
            <w:tcW w:w="1134"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w:t>
            </w:r>
          </w:p>
        </w:tc>
        <w:tc>
          <w:tcPr>
            <w:tcW w:w="1031"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16" w:type="dxa"/>
            <w:vMerge w:val="continue"/>
            <w:noWrap w:val="0"/>
            <w:vAlign w:val="center"/>
          </w:tcPr>
          <w:p>
            <w:pPr>
              <w:widowControl w:val="0"/>
              <w:jc w:val="center"/>
              <w:rPr>
                <w:rFonts w:ascii="Times New Roman" w:hAnsi="Times New Roman" w:eastAsia="仿宋_GB2312" w:cs="Times New Roman"/>
                <w:spacing w:val="-10"/>
                <w:sz w:val="21"/>
                <w:szCs w:val="21"/>
              </w:rPr>
            </w:pPr>
          </w:p>
        </w:tc>
        <w:tc>
          <w:tcPr>
            <w:tcW w:w="456" w:type="dxa"/>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8</w:t>
            </w:r>
          </w:p>
        </w:tc>
        <w:tc>
          <w:tcPr>
            <w:tcW w:w="3493" w:type="dxa"/>
            <w:noWrap w:val="0"/>
            <w:vAlign w:val="center"/>
          </w:tcPr>
          <w:p>
            <w:pPr>
              <w:widowControl w:val="0"/>
              <w:spacing w:line="380" w:lineRule="exact"/>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全员劳动生产率</w:t>
            </w:r>
            <w:r>
              <w:rPr>
                <w:rFonts w:hint="eastAsia" w:ascii="Times New Roman" w:hAnsi="Times New Roman" w:eastAsia="仿宋_GB2312" w:cs="Times New Roman"/>
                <w:spacing w:val="-10"/>
                <w:sz w:val="21"/>
                <w:szCs w:val="21"/>
              </w:rPr>
              <w:t>增长</w:t>
            </w:r>
          </w:p>
        </w:tc>
        <w:tc>
          <w:tcPr>
            <w:tcW w:w="823"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hint="eastAsia" w:ascii="Times New Roman" w:hAnsi="Times New Roman" w:eastAsia="仿宋_GB2312" w:cs="Times New Roman"/>
                <w:spacing w:val="-10"/>
                <w:sz w:val="18"/>
                <w:szCs w:val="18"/>
              </w:rPr>
              <w:t>%</w:t>
            </w:r>
          </w:p>
        </w:tc>
        <w:tc>
          <w:tcPr>
            <w:tcW w:w="992"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w:t>
            </w:r>
          </w:p>
        </w:tc>
        <w:tc>
          <w:tcPr>
            <w:tcW w:w="992"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w:t>
            </w:r>
          </w:p>
        </w:tc>
        <w:tc>
          <w:tcPr>
            <w:tcW w:w="1134"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＞7</w:t>
            </w:r>
          </w:p>
        </w:tc>
        <w:tc>
          <w:tcPr>
            <w:tcW w:w="1031"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6" w:type="dxa"/>
            <w:vMerge w:val="restart"/>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创新能力</w:t>
            </w:r>
          </w:p>
        </w:tc>
        <w:tc>
          <w:tcPr>
            <w:tcW w:w="456" w:type="dxa"/>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9</w:t>
            </w:r>
          </w:p>
        </w:tc>
        <w:tc>
          <w:tcPr>
            <w:tcW w:w="3493" w:type="dxa"/>
            <w:noWrap w:val="0"/>
            <w:vAlign w:val="center"/>
          </w:tcPr>
          <w:p>
            <w:pPr>
              <w:widowControl w:val="0"/>
              <w:rPr>
                <w:rFonts w:ascii="Times New Roman" w:hAnsi="Times New Roman" w:eastAsia="仿宋_GB2312" w:cs="Times New Roman"/>
                <w:spacing w:val="-10"/>
                <w:sz w:val="21"/>
                <w:szCs w:val="21"/>
              </w:rPr>
            </w:pPr>
            <w:r>
              <w:rPr>
                <w:rFonts w:hint="eastAsia" w:ascii="Times New Roman" w:hAnsi="Times New Roman" w:eastAsia="仿宋_GB2312" w:cs="Times New Roman"/>
                <w:spacing w:val="-10"/>
                <w:sz w:val="21"/>
                <w:szCs w:val="21"/>
              </w:rPr>
              <w:t>研发经费投入增长</w:t>
            </w:r>
          </w:p>
        </w:tc>
        <w:tc>
          <w:tcPr>
            <w:tcW w:w="823" w:type="dxa"/>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w:t>
            </w:r>
          </w:p>
        </w:tc>
        <w:tc>
          <w:tcPr>
            <w:tcW w:w="992" w:type="dxa"/>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w:t>
            </w:r>
          </w:p>
        </w:tc>
        <w:tc>
          <w:tcPr>
            <w:tcW w:w="992" w:type="dxa"/>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w:t>
            </w:r>
          </w:p>
        </w:tc>
        <w:tc>
          <w:tcPr>
            <w:tcW w:w="1134" w:type="dxa"/>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8</w:t>
            </w:r>
          </w:p>
        </w:tc>
        <w:tc>
          <w:tcPr>
            <w:tcW w:w="1031" w:type="dxa"/>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16" w:type="dxa"/>
            <w:vMerge w:val="continue"/>
            <w:noWrap w:val="0"/>
            <w:vAlign w:val="center"/>
          </w:tcPr>
          <w:p>
            <w:pPr>
              <w:widowControl w:val="0"/>
              <w:jc w:val="center"/>
              <w:rPr>
                <w:rFonts w:ascii="Times New Roman" w:hAnsi="Times New Roman" w:eastAsia="仿宋_GB2312" w:cs="Times New Roman"/>
                <w:spacing w:val="-10"/>
                <w:sz w:val="21"/>
                <w:szCs w:val="21"/>
              </w:rPr>
            </w:pPr>
          </w:p>
        </w:tc>
        <w:tc>
          <w:tcPr>
            <w:tcW w:w="456" w:type="dxa"/>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10</w:t>
            </w:r>
          </w:p>
        </w:tc>
        <w:tc>
          <w:tcPr>
            <w:tcW w:w="3493" w:type="dxa"/>
            <w:noWrap w:val="0"/>
            <w:vAlign w:val="center"/>
          </w:tcPr>
          <w:p>
            <w:pPr>
              <w:widowControl w:val="0"/>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每万人高价值发明专利拥有量</w:t>
            </w:r>
          </w:p>
        </w:tc>
        <w:tc>
          <w:tcPr>
            <w:tcW w:w="823" w:type="dxa"/>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件</w:t>
            </w:r>
          </w:p>
        </w:tc>
        <w:tc>
          <w:tcPr>
            <w:tcW w:w="992" w:type="dxa"/>
            <w:noWrap w:val="0"/>
            <w:vAlign w:val="center"/>
          </w:tcPr>
          <w:p>
            <w:pPr>
              <w:widowControl w:val="0"/>
              <w:jc w:val="center"/>
              <w:rPr>
                <w:rFonts w:hint="eastAsia" w:ascii="Times New Roman" w:hAnsi="Times New Roman" w:eastAsia="仿宋_GB2312" w:cs="Times New Roman"/>
                <w:spacing w:val="-10"/>
                <w:sz w:val="21"/>
                <w:szCs w:val="21"/>
              </w:rPr>
            </w:pPr>
            <w:r>
              <w:rPr>
                <w:rFonts w:hint="eastAsia" w:ascii="Times New Roman" w:hAnsi="Times New Roman" w:eastAsia="仿宋_GB2312" w:cs="Times New Roman"/>
                <w:spacing w:val="-10"/>
                <w:sz w:val="21"/>
                <w:szCs w:val="21"/>
              </w:rPr>
              <w:t>-</w:t>
            </w:r>
          </w:p>
        </w:tc>
        <w:tc>
          <w:tcPr>
            <w:tcW w:w="992" w:type="dxa"/>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6</w:t>
            </w:r>
          </w:p>
        </w:tc>
        <w:tc>
          <w:tcPr>
            <w:tcW w:w="1134" w:type="dxa"/>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w:t>
            </w:r>
          </w:p>
        </w:tc>
        <w:tc>
          <w:tcPr>
            <w:tcW w:w="1031" w:type="dxa"/>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616" w:type="dxa"/>
            <w:vMerge w:val="continue"/>
            <w:noWrap w:val="0"/>
            <w:vAlign w:val="center"/>
          </w:tcPr>
          <w:p>
            <w:pPr>
              <w:widowControl w:val="0"/>
              <w:jc w:val="center"/>
              <w:rPr>
                <w:rFonts w:ascii="Times New Roman" w:hAnsi="Times New Roman" w:eastAsia="仿宋_GB2312" w:cs="Times New Roman"/>
                <w:spacing w:val="-10"/>
                <w:sz w:val="21"/>
                <w:szCs w:val="21"/>
              </w:rPr>
            </w:pPr>
          </w:p>
        </w:tc>
        <w:tc>
          <w:tcPr>
            <w:tcW w:w="456" w:type="dxa"/>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11</w:t>
            </w:r>
          </w:p>
        </w:tc>
        <w:tc>
          <w:tcPr>
            <w:tcW w:w="3493" w:type="dxa"/>
            <w:noWrap w:val="0"/>
            <w:vAlign w:val="center"/>
          </w:tcPr>
          <w:p>
            <w:pPr>
              <w:widowControl w:val="0"/>
              <w:spacing w:line="380" w:lineRule="exact"/>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数字经济核心产业增加值占GDP比重</w:t>
            </w:r>
          </w:p>
        </w:tc>
        <w:tc>
          <w:tcPr>
            <w:tcW w:w="823"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w:t>
            </w:r>
          </w:p>
        </w:tc>
        <w:tc>
          <w:tcPr>
            <w:tcW w:w="992"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w:t>
            </w:r>
          </w:p>
        </w:tc>
        <w:tc>
          <w:tcPr>
            <w:tcW w:w="992"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10</w:t>
            </w:r>
          </w:p>
        </w:tc>
        <w:tc>
          <w:tcPr>
            <w:tcW w:w="1134"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w:t>
            </w:r>
          </w:p>
        </w:tc>
        <w:tc>
          <w:tcPr>
            <w:tcW w:w="1031"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6" w:type="dxa"/>
            <w:vMerge w:val="restart"/>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民生福祉</w:t>
            </w:r>
          </w:p>
        </w:tc>
        <w:tc>
          <w:tcPr>
            <w:tcW w:w="456" w:type="dxa"/>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12</w:t>
            </w:r>
          </w:p>
        </w:tc>
        <w:tc>
          <w:tcPr>
            <w:tcW w:w="3493" w:type="dxa"/>
            <w:noWrap w:val="0"/>
            <w:vAlign w:val="center"/>
          </w:tcPr>
          <w:p>
            <w:pPr>
              <w:widowControl w:val="0"/>
              <w:spacing w:line="380" w:lineRule="exact"/>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常住人口</w:t>
            </w:r>
          </w:p>
        </w:tc>
        <w:tc>
          <w:tcPr>
            <w:tcW w:w="823"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万人</w:t>
            </w:r>
          </w:p>
        </w:tc>
        <w:tc>
          <w:tcPr>
            <w:tcW w:w="992"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19.5</w:t>
            </w:r>
          </w:p>
        </w:tc>
        <w:tc>
          <w:tcPr>
            <w:tcW w:w="992"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22.8</w:t>
            </w:r>
          </w:p>
        </w:tc>
        <w:tc>
          <w:tcPr>
            <w:tcW w:w="1134"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hint="eastAsia" w:ascii="Times New Roman" w:hAnsi="Times New Roman" w:eastAsia="仿宋_GB2312" w:cs="Times New Roman"/>
                <w:spacing w:val="-10"/>
                <w:sz w:val="21"/>
                <w:szCs w:val="21"/>
              </w:rPr>
              <w:t>3.2</w:t>
            </w:r>
          </w:p>
        </w:tc>
        <w:tc>
          <w:tcPr>
            <w:tcW w:w="1031"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6" w:type="dxa"/>
            <w:vMerge w:val="continue"/>
            <w:noWrap w:val="0"/>
            <w:vAlign w:val="center"/>
          </w:tcPr>
          <w:p>
            <w:pPr>
              <w:widowControl w:val="0"/>
              <w:jc w:val="center"/>
              <w:rPr>
                <w:rFonts w:ascii="Times New Roman" w:hAnsi="Times New Roman" w:eastAsia="仿宋_GB2312" w:cs="Times New Roman"/>
                <w:spacing w:val="-10"/>
                <w:sz w:val="21"/>
                <w:szCs w:val="21"/>
              </w:rPr>
            </w:pPr>
          </w:p>
        </w:tc>
        <w:tc>
          <w:tcPr>
            <w:tcW w:w="456" w:type="dxa"/>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13</w:t>
            </w:r>
          </w:p>
        </w:tc>
        <w:tc>
          <w:tcPr>
            <w:tcW w:w="3493" w:type="dxa"/>
            <w:noWrap w:val="0"/>
            <w:vAlign w:val="center"/>
          </w:tcPr>
          <w:p>
            <w:pPr>
              <w:widowControl w:val="0"/>
              <w:spacing w:line="380" w:lineRule="exact"/>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居民人均可支配收入增长率</w:t>
            </w:r>
          </w:p>
        </w:tc>
        <w:tc>
          <w:tcPr>
            <w:tcW w:w="823" w:type="dxa"/>
            <w:noWrap w:val="0"/>
            <w:vAlign w:val="center"/>
          </w:tcPr>
          <w:p>
            <w:pPr>
              <w:widowControl w:val="0"/>
              <w:spacing w:line="380" w:lineRule="exact"/>
              <w:jc w:val="center"/>
              <w:rPr>
                <w:rFonts w:hint="eastAsia" w:ascii="Times New Roman" w:hAnsi="Times New Roman" w:eastAsia="仿宋_GB2312" w:cs="Times New Roman"/>
                <w:spacing w:val="-10"/>
                <w:sz w:val="21"/>
                <w:szCs w:val="21"/>
              </w:rPr>
            </w:pPr>
            <w:r>
              <w:rPr>
                <w:rFonts w:hint="eastAsia" w:ascii="Times New Roman" w:hAnsi="Times New Roman" w:eastAsia="仿宋_GB2312" w:cs="Times New Roman"/>
                <w:spacing w:val="-10"/>
                <w:sz w:val="21"/>
                <w:szCs w:val="21"/>
              </w:rPr>
              <w:t>%</w:t>
            </w:r>
          </w:p>
        </w:tc>
        <w:tc>
          <w:tcPr>
            <w:tcW w:w="992"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w:t>
            </w:r>
          </w:p>
        </w:tc>
        <w:tc>
          <w:tcPr>
            <w:tcW w:w="992"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w:t>
            </w:r>
          </w:p>
        </w:tc>
        <w:tc>
          <w:tcPr>
            <w:tcW w:w="1134"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8</w:t>
            </w:r>
          </w:p>
        </w:tc>
        <w:tc>
          <w:tcPr>
            <w:tcW w:w="1031"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6" w:type="dxa"/>
            <w:vMerge w:val="continue"/>
            <w:noWrap w:val="0"/>
            <w:vAlign w:val="center"/>
          </w:tcPr>
          <w:p>
            <w:pPr>
              <w:widowControl w:val="0"/>
              <w:jc w:val="center"/>
              <w:rPr>
                <w:rFonts w:ascii="Times New Roman" w:hAnsi="Times New Roman" w:eastAsia="仿宋_GB2312" w:cs="Times New Roman"/>
                <w:spacing w:val="-10"/>
                <w:sz w:val="21"/>
                <w:szCs w:val="21"/>
              </w:rPr>
            </w:pPr>
          </w:p>
        </w:tc>
        <w:tc>
          <w:tcPr>
            <w:tcW w:w="456" w:type="dxa"/>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14</w:t>
            </w:r>
          </w:p>
        </w:tc>
        <w:tc>
          <w:tcPr>
            <w:tcW w:w="3493" w:type="dxa"/>
            <w:noWrap w:val="0"/>
            <w:vAlign w:val="center"/>
          </w:tcPr>
          <w:p>
            <w:pPr>
              <w:widowControl w:val="0"/>
              <w:spacing w:line="380" w:lineRule="exact"/>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城镇登记失业率</w:t>
            </w:r>
          </w:p>
        </w:tc>
        <w:tc>
          <w:tcPr>
            <w:tcW w:w="823"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w:t>
            </w:r>
          </w:p>
        </w:tc>
        <w:tc>
          <w:tcPr>
            <w:tcW w:w="992"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hint="eastAsia" w:ascii="Times New Roman" w:hAnsi="Times New Roman" w:eastAsia="仿宋_GB2312" w:cs="Times New Roman"/>
                <w:spacing w:val="-10"/>
                <w:sz w:val="21"/>
                <w:szCs w:val="21"/>
              </w:rPr>
              <w:t>-</w:t>
            </w:r>
          </w:p>
        </w:tc>
        <w:tc>
          <w:tcPr>
            <w:tcW w:w="992"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4</w:t>
            </w:r>
            <w:r>
              <w:rPr>
                <w:rFonts w:hint="eastAsia" w:ascii="Times New Roman" w:hAnsi="Times New Roman" w:eastAsia="仿宋_GB2312" w:cs="Times New Roman"/>
                <w:spacing w:val="-10"/>
                <w:sz w:val="21"/>
                <w:szCs w:val="21"/>
              </w:rPr>
              <w:t>.5</w:t>
            </w:r>
            <w:r>
              <w:rPr>
                <w:rFonts w:ascii="Times New Roman" w:hAnsi="Times New Roman" w:eastAsia="仿宋_GB2312" w:cs="Times New Roman"/>
                <w:spacing w:val="-10"/>
                <w:sz w:val="21"/>
                <w:szCs w:val="21"/>
              </w:rPr>
              <w:t>以内</w:t>
            </w:r>
          </w:p>
        </w:tc>
        <w:tc>
          <w:tcPr>
            <w:tcW w:w="1134"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w:t>
            </w:r>
          </w:p>
        </w:tc>
        <w:tc>
          <w:tcPr>
            <w:tcW w:w="1031"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6" w:type="dxa"/>
            <w:vMerge w:val="continue"/>
            <w:noWrap w:val="0"/>
            <w:vAlign w:val="center"/>
          </w:tcPr>
          <w:p>
            <w:pPr>
              <w:widowControl w:val="0"/>
              <w:jc w:val="center"/>
              <w:rPr>
                <w:rFonts w:ascii="Times New Roman" w:hAnsi="Times New Roman" w:eastAsia="仿宋_GB2312" w:cs="Times New Roman"/>
                <w:spacing w:val="-10"/>
                <w:sz w:val="21"/>
                <w:szCs w:val="21"/>
              </w:rPr>
            </w:pPr>
          </w:p>
        </w:tc>
        <w:tc>
          <w:tcPr>
            <w:tcW w:w="456" w:type="dxa"/>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15</w:t>
            </w:r>
          </w:p>
        </w:tc>
        <w:tc>
          <w:tcPr>
            <w:tcW w:w="3493" w:type="dxa"/>
            <w:noWrap w:val="0"/>
            <w:vAlign w:val="center"/>
          </w:tcPr>
          <w:p>
            <w:pPr>
              <w:widowControl w:val="0"/>
              <w:spacing w:line="380" w:lineRule="exact"/>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人均预期寿命</w:t>
            </w:r>
          </w:p>
        </w:tc>
        <w:tc>
          <w:tcPr>
            <w:tcW w:w="823"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岁</w:t>
            </w:r>
          </w:p>
        </w:tc>
        <w:tc>
          <w:tcPr>
            <w:tcW w:w="992"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z w:val="21"/>
                <w:szCs w:val="21"/>
              </w:rPr>
              <w:t>78</w:t>
            </w:r>
          </w:p>
        </w:tc>
        <w:tc>
          <w:tcPr>
            <w:tcW w:w="992"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hint="eastAsia" w:ascii="Times New Roman" w:hAnsi="Times New Roman" w:eastAsia="仿宋_GB2312" w:cs="Times New Roman"/>
                <w:spacing w:val="-10"/>
                <w:sz w:val="21"/>
                <w:szCs w:val="21"/>
              </w:rPr>
              <w:t>79</w:t>
            </w:r>
          </w:p>
        </w:tc>
        <w:tc>
          <w:tcPr>
            <w:tcW w:w="1134"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rPr>
              <w:t>[1]</w:t>
            </w:r>
          </w:p>
        </w:tc>
        <w:tc>
          <w:tcPr>
            <w:tcW w:w="1031"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6" w:type="dxa"/>
            <w:vMerge w:val="continue"/>
            <w:noWrap w:val="0"/>
            <w:vAlign w:val="center"/>
          </w:tcPr>
          <w:p>
            <w:pPr>
              <w:widowControl w:val="0"/>
              <w:jc w:val="center"/>
              <w:rPr>
                <w:rFonts w:ascii="Times New Roman" w:hAnsi="Times New Roman" w:eastAsia="仿宋_GB2312" w:cs="Times New Roman"/>
                <w:spacing w:val="-10"/>
                <w:sz w:val="21"/>
                <w:szCs w:val="21"/>
              </w:rPr>
            </w:pPr>
          </w:p>
        </w:tc>
        <w:tc>
          <w:tcPr>
            <w:tcW w:w="456" w:type="dxa"/>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16</w:t>
            </w:r>
          </w:p>
        </w:tc>
        <w:tc>
          <w:tcPr>
            <w:tcW w:w="3493" w:type="dxa"/>
            <w:noWrap w:val="0"/>
            <w:vAlign w:val="center"/>
          </w:tcPr>
          <w:p>
            <w:pPr>
              <w:widowControl w:val="0"/>
              <w:spacing w:line="380" w:lineRule="exact"/>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劳动年龄人口平均受教育年限</w:t>
            </w:r>
          </w:p>
        </w:tc>
        <w:tc>
          <w:tcPr>
            <w:tcW w:w="823"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年</w:t>
            </w:r>
          </w:p>
        </w:tc>
        <w:tc>
          <w:tcPr>
            <w:tcW w:w="992"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11.2</w:t>
            </w:r>
          </w:p>
        </w:tc>
        <w:tc>
          <w:tcPr>
            <w:tcW w:w="992"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12</w:t>
            </w:r>
          </w:p>
        </w:tc>
        <w:tc>
          <w:tcPr>
            <w:tcW w:w="1134"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w:t>
            </w:r>
          </w:p>
        </w:tc>
        <w:tc>
          <w:tcPr>
            <w:tcW w:w="1031"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6" w:type="dxa"/>
            <w:vMerge w:val="continue"/>
            <w:noWrap w:val="0"/>
            <w:vAlign w:val="center"/>
          </w:tcPr>
          <w:p>
            <w:pPr>
              <w:widowControl w:val="0"/>
              <w:jc w:val="center"/>
              <w:rPr>
                <w:rFonts w:ascii="Times New Roman" w:hAnsi="Times New Roman" w:eastAsia="仿宋_GB2312" w:cs="Times New Roman"/>
                <w:spacing w:val="-10"/>
                <w:sz w:val="21"/>
                <w:szCs w:val="21"/>
              </w:rPr>
            </w:pPr>
          </w:p>
        </w:tc>
        <w:tc>
          <w:tcPr>
            <w:tcW w:w="456" w:type="dxa"/>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17</w:t>
            </w:r>
          </w:p>
        </w:tc>
        <w:tc>
          <w:tcPr>
            <w:tcW w:w="3493" w:type="dxa"/>
            <w:noWrap w:val="0"/>
            <w:vAlign w:val="center"/>
          </w:tcPr>
          <w:p>
            <w:pPr>
              <w:widowControl w:val="0"/>
              <w:spacing w:line="380" w:lineRule="exact"/>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每千人口拥有执业（助理）医生数</w:t>
            </w:r>
          </w:p>
        </w:tc>
        <w:tc>
          <w:tcPr>
            <w:tcW w:w="823"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人</w:t>
            </w:r>
          </w:p>
        </w:tc>
        <w:tc>
          <w:tcPr>
            <w:tcW w:w="992"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2.54</w:t>
            </w:r>
          </w:p>
        </w:tc>
        <w:tc>
          <w:tcPr>
            <w:tcW w:w="992"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hint="eastAsia" w:ascii="Times New Roman" w:hAnsi="Times New Roman" w:eastAsia="仿宋_GB2312" w:cs="Times New Roman"/>
                <w:spacing w:val="-10"/>
                <w:sz w:val="21"/>
                <w:szCs w:val="21"/>
              </w:rPr>
              <w:t>3.6</w:t>
            </w:r>
          </w:p>
        </w:tc>
        <w:tc>
          <w:tcPr>
            <w:tcW w:w="1134" w:type="dxa"/>
            <w:noWrap w:val="0"/>
            <w:vAlign w:val="center"/>
          </w:tcPr>
          <w:p>
            <w:pPr>
              <w:widowControl w:val="0"/>
              <w:spacing w:line="380" w:lineRule="exact"/>
              <w:jc w:val="center"/>
              <w:rPr>
                <w:rFonts w:hint="eastAsia" w:ascii="Times New Roman" w:hAnsi="Times New Roman" w:eastAsia="仿宋_GB2312" w:cs="Times New Roman"/>
                <w:spacing w:val="-10"/>
                <w:sz w:val="21"/>
                <w:szCs w:val="21"/>
              </w:rPr>
            </w:pPr>
            <w:r>
              <w:rPr>
                <w:rFonts w:hint="eastAsia" w:ascii="Times New Roman" w:hAnsi="Times New Roman" w:eastAsia="仿宋_GB2312" w:cs="Times New Roman"/>
                <w:spacing w:val="-10"/>
                <w:sz w:val="21"/>
                <w:szCs w:val="21"/>
              </w:rPr>
              <w:t>-</w:t>
            </w:r>
          </w:p>
        </w:tc>
        <w:tc>
          <w:tcPr>
            <w:tcW w:w="1031"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6" w:type="dxa"/>
            <w:vMerge w:val="continue"/>
            <w:noWrap w:val="0"/>
            <w:vAlign w:val="center"/>
          </w:tcPr>
          <w:p>
            <w:pPr>
              <w:widowControl w:val="0"/>
              <w:jc w:val="center"/>
              <w:rPr>
                <w:rFonts w:ascii="Times New Roman" w:hAnsi="Times New Roman" w:eastAsia="仿宋_GB2312" w:cs="Times New Roman"/>
                <w:spacing w:val="-10"/>
                <w:sz w:val="21"/>
                <w:szCs w:val="21"/>
              </w:rPr>
            </w:pPr>
          </w:p>
        </w:tc>
        <w:tc>
          <w:tcPr>
            <w:tcW w:w="456" w:type="dxa"/>
            <w:noWrap w:val="0"/>
            <w:vAlign w:val="center"/>
          </w:tcPr>
          <w:p>
            <w:pPr>
              <w:widowControl w:val="0"/>
              <w:jc w:val="center"/>
              <w:rPr>
                <w:rFonts w:ascii="Times New Roman" w:hAnsi="Times New Roman" w:eastAsia="仿宋_GB2312" w:cs="Times New Roman"/>
                <w:spacing w:val="-10"/>
                <w:sz w:val="21"/>
                <w:szCs w:val="21"/>
              </w:rPr>
            </w:pPr>
            <w:r>
              <w:rPr>
                <w:rFonts w:hint="eastAsia" w:ascii="Times New Roman" w:hAnsi="Times New Roman" w:eastAsia="仿宋_GB2312" w:cs="Times New Roman"/>
                <w:spacing w:val="-10"/>
                <w:sz w:val="21"/>
                <w:szCs w:val="21"/>
              </w:rPr>
              <w:t>18</w:t>
            </w:r>
          </w:p>
        </w:tc>
        <w:tc>
          <w:tcPr>
            <w:tcW w:w="3493" w:type="dxa"/>
            <w:noWrap w:val="0"/>
            <w:vAlign w:val="center"/>
          </w:tcPr>
          <w:p>
            <w:pPr>
              <w:widowControl w:val="0"/>
              <w:spacing w:line="380" w:lineRule="exact"/>
              <w:rPr>
                <w:rFonts w:ascii="Times New Roman" w:hAnsi="Times New Roman" w:eastAsia="仿宋_GB2312" w:cs="Times New Roman"/>
                <w:spacing w:val="-10"/>
                <w:sz w:val="21"/>
                <w:szCs w:val="21"/>
              </w:rPr>
            </w:pPr>
            <w:r>
              <w:rPr>
                <w:rFonts w:hint="eastAsia" w:ascii="Times New Roman" w:hAnsi="Times New Roman" w:eastAsia="仿宋_GB2312" w:cs="Times New Roman"/>
                <w:spacing w:val="-10"/>
                <w:sz w:val="21"/>
                <w:szCs w:val="21"/>
              </w:rPr>
              <w:t>每千人拥有3岁以下婴幼儿托位数</w:t>
            </w:r>
          </w:p>
        </w:tc>
        <w:tc>
          <w:tcPr>
            <w:tcW w:w="823" w:type="dxa"/>
            <w:noWrap w:val="0"/>
            <w:vAlign w:val="center"/>
          </w:tcPr>
          <w:p>
            <w:pPr>
              <w:widowControl w:val="0"/>
              <w:spacing w:line="380" w:lineRule="exact"/>
              <w:jc w:val="center"/>
              <w:rPr>
                <w:rFonts w:ascii="Times New Roman" w:hAnsi="Times New Roman" w:eastAsia="仿宋_GB2312" w:cs="Times New Roman"/>
                <w:spacing w:val="-10"/>
                <w:sz w:val="21"/>
                <w:szCs w:val="21"/>
              </w:rPr>
            </w:pPr>
          </w:p>
        </w:tc>
        <w:tc>
          <w:tcPr>
            <w:tcW w:w="992" w:type="dxa"/>
            <w:noWrap w:val="0"/>
            <w:vAlign w:val="center"/>
          </w:tcPr>
          <w:p>
            <w:pPr>
              <w:widowControl w:val="0"/>
              <w:spacing w:line="380" w:lineRule="exact"/>
              <w:jc w:val="center"/>
              <w:rPr>
                <w:rFonts w:hint="eastAsia" w:ascii="Times New Roman" w:hAnsi="Times New Roman" w:eastAsia="仿宋_GB2312" w:cs="Times New Roman"/>
                <w:spacing w:val="-10"/>
                <w:sz w:val="21"/>
                <w:szCs w:val="21"/>
              </w:rPr>
            </w:pPr>
            <w:r>
              <w:rPr>
                <w:rFonts w:hint="eastAsia" w:ascii="Times New Roman" w:hAnsi="Times New Roman" w:eastAsia="仿宋_GB2312" w:cs="Times New Roman"/>
                <w:spacing w:val="-10"/>
                <w:sz w:val="21"/>
                <w:szCs w:val="21"/>
              </w:rPr>
              <w:t>-</w:t>
            </w:r>
          </w:p>
        </w:tc>
        <w:tc>
          <w:tcPr>
            <w:tcW w:w="992" w:type="dxa"/>
            <w:noWrap w:val="0"/>
            <w:vAlign w:val="center"/>
          </w:tcPr>
          <w:p>
            <w:pPr>
              <w:widowControl w:val="0"/>
              <w:spacing w:line="380" w:lineRule="exact"/>
              <w:jc w:val="center"/>
              <w:rPr>
                <w:rFonts w:ascii="Times New Roman" w:hAnsi="Times New Roman" w:eastAsia="仿宋_GB2312" w:cs="Times New Roman"/>
                <w:spacing w:val="-10"/>
                <w:sz w:val="21"/>
                <w:szCs w:val="21"/>
              </w:rPr>
            </w:pPr>
            <w:r>
              <w:rPr>
                <w:rFonts w:hint="eastAsia" w:ascii="Times New Roman" w:hAnsi="Times New Roman" w:eastAsia="仿宋_GB2312" w:cs="Times New Roman"/>
                <w:spacing w:val="-10"/>
                <w:sz w:val="21"/>
                <w:szCs w:val="21"/>
              </w:rPr>
              <w:t>4.5</w:t>
            </w:r>
          </w:p>
        </w:tc>
        <w:tc>
          <w:tcPr>
            <w:tcW w:w="1134" w:type="dxa"/>
            <w:noWrap w:val="0"/>
            <w:vAlign w:val="center"/>
          </w:tcPr>
          <w:p>
            <w:pPr>
              <w:widowControl w:val="0"/>
              <w:spacing w:line="380" w:lineRule="exact"/>
              <w:jc w:val="center"/>
              <w:rPr>
                <w:rFonts w:hint="eastAsia" w:ascii="Times New Roman" w:hAnsi="Times New Roman" w:eastAsia="仿宋_GB2312" w:cs="Times New Roman"/>
                <w:spacing w:val="-10"/>
                <w:sz w:val="21"/>
                <w:szCs w:val="21"/>
              </w:rPr>
            </w:pPr>
            <w:r>
              <w:rPr>
                <w:rFonts w:hint="eastAsia" w:ascii="Times New Roman" w:hAnsi="Times New Roman" w:eastAsia="仿宋_GB2312" w:cs="Times New Roman"/>
                <w:spacing w:val="-10"/>
                <w:sz w:val="21"/>
                <w:szCs w:val="21"/>
              </w:rPr>
              <w:t>-</w:t>
            </w:r>
          </w:p>
        </w:tc>
        <w:tc>
          <w:tcPr>
            <w:tcW w:w="1031" w:type="dxa"/>
            <w:noWrap w:val="0"/>
            <w:vAlign w:val="center"/>
          </w:tcPr>
          <w:p>
            <w:pPr>
              <w:widowControl w:val="0"/>
              <w:spacing w:line="380" w:lineRule="exact"/>
              <w:jc w:val="center"/>
              <w:rPr>
                <w:rFonts w:hint="eastAsia" w:ascii="Times New Roman" w:hAnsi="Times New Roman" w:eastAsia="仿宋_GB2312" w:cs="Times New Roman"/>
                <w:spacing w:val="-10"/>
                <w:sz w:val="21"/>
                <w:szCs w:val="21"/>
              </w:rPr>
            </w:pPr>
            <w:r>
              <w:rPr>
                <w:rFonts w:hint="eastAsia" w:ascii="Times New Roman" w:hAnsi="Times New Roman" w:eastAsia="仿宋_GB2312" w:cs="Times New Roman"/>
                <w:spacing w:val="-1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6" w:type="dxa"/>
            <w:vMerge w:val="restart"/>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生态建设</w:t>
            </w:r>
          </w:p>
        </w:tc>
        <w:tc>
          <w:tcPr>
            <w:tcW w:w="456" w:type="dxa"/>
            <w:noWrap w:val="0"/>
            <w:vAlign w:val="center"/>
          </w:tcPr>
          <w:p>
            <w:pPr>
              <w:widowControl w:val="0"/>
              <w:jc w:val="center"/>
              <w:rPr>
                <w:rFonts w:ascii="Times New Roman" w:hAnsi="Times New Roman" w:eastAsia="仿宋_GB2312" w:cs="Times New Roman"/>
                <w:spacing w:val="-10"/>
                <w:sz w:val="21"/>
                <w:szCs w:val="21"/>
              </w:rPr>
            </w:pPr>
            <w:r>
              <w:rPr>
                <w:rFonts w:hint="eastAsia" w:ascii="Times New Roman" w:hAnsi="Times New Roman" w:eastAsia="仿宋_GB2312" w:cs="Times New Roman"/>
                <w:spacing w:val="-10"/>
                <w:sz w:val="21"/>
                <w:szCs w:val="21"/>
              </w:rPr>
              <w:t>19</w:t>
            </w:r>
          </w:p>
        </w:tc>
        <w:tc>
          <w:tcPr>
            <w:tcW w:w="3493" w:type="dxa"/>
            <w:noWrap w:val="0"/>
            <w:vAlign w:val="center"/>
          </w:tcPr>
          <w:p>
            <w:pPr>
              <w:widowControl w:val="0"/>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单位生产总值能耗降幅</w:t>
            </w:r>
          </w:p>
        </w:tc>
        <w:tc>
          <w:tcPr>
            <w:tcW w:w="823" w:type="dxa"/>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w:t>
            </w:r>
          </w:p>
        </w:tc>
        <w:tc>
          <w:tcPr>
            <w:tcW w:w="992" w:type="dxa"/>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完成市定目标</w:t>
            </w:r>
          </w:p>
        </w:tc>
        <w:tc>
          <w:tcPr>
            <w:tcW w:w="992" w:type="dxa"/>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完成市定目标</w:t>
            </w:r>
          </w:p>
        </w:tc>
        <w:tc>
          <w:tcPr>
            <w:tcW w:w="1134" w:type="dxa"/>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w:t>
            </w:r>
          </w:p>
        </w:tc>
        <w:tc>
          <w:tcPr>
            <w:tcW w:w="1031" w:type="dxa"/>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6" w:type="dxa"/>
            <w:vMerge w:val="continue"/>
            <w:noWrap w:val="0"/>
            <w:vAlign w:val="center"/>
          </w:tcPr>
          <w:p>
            <w:pPr>
              <w:widowControl w:val="0"/>
              <w:jc w:val="center"/>
              <w:rPr>
                <w:rFonts w:ascii="Times New Roman" w:hAnsi="Times New Roman" w:eastAsia="仿宋_GB2312" w:cs="Times New Roman"/>
                <w:spacing w:val="-10"/>
                <w:sz w:val="21"/>
                <w:szCs w:val="21"/>
              </w:rPr>
            </w:pPr>
          </w:p>
        </w:tc>
        <w:tc>
          <w:tcPr>
            <w:tcW w:w="456" w:type="dxa"/>
            <w:noWrap w:val="0"/>
            <w:vAlign w:val="center"/>
          </w:tcPr>
          <w:p>
            <w:pPr>
              <w:widowControl w:val="0"/>
              <w:jc w:val="center"/>
              <w:rPr>
                <w:rFonts w:ascii="Times New Roman" w:hAnsi="Times New Roman" w:eastAsia="仿宋_GB2312" w:cs="Times New Roman"/>
                <w:spacing w:val="-10"/>
                <w:sz w:val="21"/>
                <w:szCs w:val="21"/>
              </w:rPr>
            </w:pPr>
            <w:r>
              <w:rPr>
                <w:rFonts w:hint="eastAsia" w:ascii="Times New Roman" w:hAnsi="Times New Roman" w:eastAsia="仿宋_GB2312" w:cs="Times New Roman"/>
                <w:spacing w:val="-10"/>
                <w:sz w:val="21"/>
                <w:szCs w:val="21"/>
              </w:rPr>
              <w:t>20</w:t>
            </w:r>
          </w:p>
        </w:tc>
        <w:tc>
          <w:tcPr>
            <w:tcW w:w="3493" w:type="dxa"/>
            <w:noWrap w:val="0"/>
            <w:vAlign w:val="center"/>
          </w:tcPr>
          <w:p>
            <w:pPr>
              <w:widowControl w:val="0"/>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单位GDP二氧化碳排放降低</w:t>
            </w:r>
          </w:p>
        </w:tc>
        <w:tc>
          <w:tcPr>
            <w:tcW w:w="823" w:type="dxa"/>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w:t>
            </w:r>
          </w:p>
        </w:tc>
        <w:tc>
          <w:tcPr>
            <w:tcW w:w="992" w:type="dxa"/>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完成市定目标</w:t>
            </w:r>
          </w:p>
        </w:tc>
        <w:tc>
          <w:tcPr>
            <w:tcW w:w="992" w:type="dxa"/>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完成市定目标</w:t>
            </w:r>
          </w:p>
        </w:tc>
        <w:tc>
          <w:tcPr>
            <w:tcW w:w="1134" w:type="dxa"/>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w:t>
            </w:r>
          </w:p>
        </w:tc>
        <w:tc>
          <w:tcPr>
            <w:tcW w:w="1031" w:type="dxa"/>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6" w:type="dxa"/>
            <w:vMerge w:val="continue"/>
            <w:noWrap w:val="0"/>
            <w:vAlign w:val="center"/>
          </w:tcPr>
          <w:p>
            <w:pPr>
              <w:widowControl w:val="0"/>
              <w:jc w:val="center"/>
              <w:rPr>
                <w:rFonts w:ascii="Times New Roman" w:hAnsi="Times New Roman" w:eastAsia="仿宋_GB2312" w:cs="Times New Roman"/>
                <w:spacing w:val="-10"/>
                <w:sz w:val="21"/>
                <w:szCs w:val="21"/>
              </w:rPr>
            </w:pPr>
          </w:p>
        </w:tc>
        <w:tc>
          <w:tcPr>
            <w:tcW w:w="456" w:type="dxa"/>
            <w:noWrap w:val="0"/>
            <w:vAlign w:val="center"/>
          </w:tcPr>
          <w:p>
            <w:pPr>
              <w:widowControl w:val="0"/>
              <w:jc w:val="center"/>
              <w:rPr>
                <w:rFonts w:ascii="Times New Roman" w:hAnsi="Times New Roman" w:eastAsia="仿宋_GB2312" w:cs="Times New Roman"/>
                <w:spacing w:val="-10"/>
                <w:sz w:val="21"/>
                <w:szCs w:val="21"/>
              </w:rPr>
            </w:pPr>
            <w:r>
              <w:rPr>
                <w:rFonts w:hint="eastAsia" w:ascii="Times New Roman" w:hAnsi="Times New Roman" w:eastAsia="仿宋_GB2312" w:cs="Times New Roman"/>
                <w:spacing w:val="-10"/>
                <w:sz w:val="21"/>
                <w:szCs w:val="21"/>
              </w:rPr>
              <w:t>21</w:t>
            </w:r>
          </w:p>
        </w:tc>
        <w:tc>
          <w:tcPr>
            <w:tcW w:w="3493" w:type="dxa"/>
            <w:noWrap w:val="0"/>
            <w:vAlign w:val="center"/>
          </w:tcPr>
          <w:p>
            <w:pPr>
              <w:widowControl w:val="0"/>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地表水达到或好于</w:t>
            </w:r>
            <w:r>
              <w:rPr>
                <w:rFonts w:ascii="Times New Roman" w:hAnsi="Times New Roman" w:eastAsia="宋体" w:cs="Times New Roman"/>
                <w:spacing w:val="-10"/>
                <w:sz w:val="21"/>
                <w:szCs w:val="21"/>
              </w:rPr>
              <w:t>Ⅲ</w:t>
            </w:r>
            <w:r>
              <w:rPr>
                <w:rFonts w:ascii="Times New Roman" w:hAnsi="Times New Roman" w:eastAsia="仿宋_GB2312" w:cs="Times New Roman"/>
                <w:spacing w:val="-10"/>
                <w:sz w:val="21"/>
                <w:szCs w:val="21"/>
              </w:rPr>
              <w:t>类水体比例</w:t>
            </w:r>
          </w:p>
        </w:tc>
        <w:tc>
          <w:tcPr>
            <w:tcW w:w="823" w:type="dxa"/>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w:t>
            </w:r>
          </w:p>
        </w:tc>
        <w:tc>
          <w:tcPr>
            <w:tcW w:w="992" w:type="dxa"/>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完成市定目标</w:t>
            </w:r>
          </w:p>
        </w:tc>
        <w:tc>
          <w:tcPr>
            <w:tcW w:w="992" w:type="dxa"/>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完成市定目标</w:t>
            </w:r>
          </w:p>
        </w:tc>
        <w:tc>
          <w:tcPr>
            <w:tcW w:w="1134" w:type="dxa"/>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w:t>
            </w:r>
          </w:p>
        </w:tc>
        <w:tc>
          <w:tcPr>
            <w:tcW w:w="1031" w:type="dxa"/>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6" w:type="dxa"/>
            <w:vMerge w:val="continue"/>
            <w:noWrap w:val="0"/>
            <w:vAlign w:val="center"/>
          </w:tcPr>
          <w:p>
            <w:pPr>
              <w:widowControl w:val="0"/>
              <w:jc w:val="center"/>
              <w:rPr>
                <w:rFonts w:ascii="Times New Roman" w:hAnsi="Times New Roman" w:eastAsia="仿宋_GB2312" w:cs="Times New Roman"/>
                <w:spacing w:val="-10"/>
                <w:sz w:val="21"/>
                <w:szCs w:val="21"/>
              </w:rPr>
            </w:pPr>
          </w:p>
        </w:tc>
        <w:tc>
          <w:tcPr>
            <w:tcW w:w="456" w:type="dxa"/>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2</w:t>
            </w:r>
            <w:r>
              <w:rPr>
                <w:rFonts w:hint="eastAsia" w:ascii="Times New Roman" w:hAnsi="Times New Roman" w:eastAsia="仿宋_GB2312" w:cs="Times New Roman"/>
                <w:spacing w:val="-10"/>
                <w:sz w:val="21"/>
                <w:szCs w:val="21"/>
              </w:rPr>
              <w:t>2</w:t>
            </w:r>
          </w:p>
        </w:tc>
        <w:tc>
          <w:tcPr>
            <w:tcW w:w="3493" w:type="dxa"/>
            <w:noWrap w:val="0"/>
            <w:vAlign w:val="center"/>
          </w:tcPr>
          <w:p>
            <w:pPr>
              <w:widowControl w:val="0"/>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城市空气质量优良天数比例</w:t>
            </w:r>
          </w:p>
        </w:tc>
        <w:tc>
          <w:tcPr>
            <w:tcW w:w="823" w:type="dxa"/>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w:t>
            </w:r>
          </w:p>
        </w:tc>
        <w:tc>
          <w:tcPr>
            <w:tcW w:w="992" w:type="dxa"/>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完成市定目标</w:t>
            </w:r>
          </w:p>
        </w:tc>
        <w:tc>
          <w:tcPr>
            <w:tcW w:w="992" w:type="dxa"/>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完成市定目标</w:t>
            </w:r>
          </w:p>
        </w:tc>
        <w:tc>
          <w:tcPr>
            <w:tcW w:w="1134" w:type="dxa"/>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w:t>
            </w:r>
          </w:p>
        </w:tc>
        <w:tc>
          <w:tcPr>
            <w:tcW w:w="1031" w:type="dxa"/>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6" w:type="dxa"/>
            <w:vMerge w:val="continue"/>
            <w:noWrap w:val="0"/>
            <w:vAlign w:val="center"/>
          </w:tcPr>
          <w:p>
            <w:pPr>
              <w:widowControl w:val="0"/>
              <w:jc w:val="center"/>
              <w:rPr>
                <w:rFonts w:ascii="Times New Roman" w:hAnsi="Times New Roman" w:eastAsia="仿宋_GB2312" w:cs="Times New Roman"/>
                <w:spacing w:val="-10"/>
                <w:sz w:val="21"/>
                <w:szCs w:val="21"/>
              </w:rPr>
            </w:pPr>
          </w:p>
        </w:tc>
        <w:tc>
          <w:tcPr>
            <w:tcW w:w="456" w:type="dxa"/>
            <w:noWrap w:val="0"/>
            <w:vAlign w:val="center"/>
          </w:tcPr>
          <w:p>
            <w:pPr>
              <w:widowControl w:val="0"/>
              <w:jc w:val="center"/>
              <w:rPr>
                <w:rFonts w:ascii="Times New Roman" w:hAnsi="Times New Roman" w:eastAsia="仿宋_GB2312" w:cs="Times New Roman"/>
                <w:spacing w:val="-10"/>
                <w:sz w:val="21"/>
                <w:szCs w:val="21"/>
              </w:rPr>
            </w:pPr>
            <w:r>
              <w:rPr>
                <w:rFonts w:hint="eastAsia" w:ascii="Times New Roman" w:hAnsi="Times New Roman" w:eastAsia="仿宋_GB2312" w:cs="Times New Roman"/>
                <w:spacing w:val="-10"/>
                <w:sz w:val="21"/>
                <w:szCs w:val="21"/>
              </w:rPr>
              <w:t>23</w:t>
            </w:r>
          </w:p>
        </w:tc>
        <w:tc>
          <w:tcPr>
            <w:tcW w:w="3493" w:type="dxa"/>
            <w:noWrap w:val="0"/>
            <w:vAlign w:val="center"/>
          </w:tcPr>
          <w:p>
            <w:pPr>
              <w:widowControl w:val="0"/>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森林覆盖率</w:t>
            </w:r>
          </w:p>
        </w:tc>
        <w:tc>
          <w:tcPr>
            <w:tcW w:w="823" w:type="dxa"/>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w:t>
            </w:r>
          </w:p>
        </w:tc>
        <w:tc>
          <w:tcPr>
            <w:tcW w:w="992" w:type="dxa"/>
            <w:noWrap w:val="0"/>
            <w:vAlign w:val="center"/>
          </w:tcPr>
          <w:p>
            <w:pPr>
              <w:widowControl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36.43</w:t>
            </w:r>
          </w:p>
        </w:tc>
        <w:tc>
          <w:tcPr>
            <w:tcW w:w="992" w:type="dxa"/>
            <w:noWrap w:val="0"/>
            <w:vAlign w:val="center"/>
          </w:tcPr>
          <w:p>
            <w:pPr>
              <w:widowControl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37</w:t>
            </w:r>
          </w:p>
        </w:tc>
        <w:tc>
          <w:tcPr>
            <w:tcW w:w="1134" w:type="dxa"/>
            <w:noWrap w:val="0"/>
            <w:vAlign w:val="center"/>
          </w:tcPr>
          <w:p>
            <w:pPr>
              <w:widowControl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1031" w:type="dxa"/>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6" w:type="dxa"/>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安全保障</w:t>
            </w:r>
          </w:p>
        </w:tc>
        <w:tc>
          <w:tcPr>
            <w:tcW w:w="456" w:type="dxa"/>
            <w:noWrap w:val="0"/>
            <w:vAlign w:val="center"/>
          </w:tcPr>
          <w:p>
            <w:pPr>
              <w:widowControl w:val="0"/>
              <w:jc w:val="center"/>
              <w:rPr>
                <w:rFonts w:ascii="Times New Roman" w:hAnsi="Times New Roman" w:eastAsia="仿宋_GB2312" w:cs="Times New Roman"/>
                <w:spacing w:val="-10"/>
                <w:sz w:val="21"/>
                <w:szCs w:val="21"/>
              </w:rPr>
            </w:pPr>
            <w:r>
              <w:rPr>
                <w:rFonts w:hint="eastAsia" w:ascii="Times New Roman" w:hAnsi="Times New Roman" w:eastAsia="仿宋_GB2312" w:cs="Times New Roman"/>
                <w:spacing w:val="-10"/>
                <w:sz w:val="21"/>
                <w:szCs w:val="21"/>
              </w:rPr>
              <w:t>24</w:t>
            </w:r>
          </w:p>
        </w:tc>
        <w:tc>
          <w:tcPr>
            <w:tcW w:w="3493" w:type="dxa"/>
            <w:noWrap w:val="0"/>
            <w:vAlign w:val="center"/>
          </w:tcPr>
          <w:p>
            <w:pPr>
              <w:widowControl w:val="0"/>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能源综合生产能力（万吨标煤）</w:t>
            </w:r>
          </w:p>
        </w:tc>
        <w:tc>
          <w:tcPr>
            <w:tcW w:w="823" w:type="dxa"/>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万吨</w:t>
            </w:r>
          </w:p>
        </w:tc>
        <w:tc>
          <w:tcPr>
            <w:tcW w:w="992" w:type="dxa"/>
            <w:noWrap w:val="0"/>
            <w:vAlign w:val="center"/>
          </w:tcPr>
          <w:p>
            <w:pPr>
              <w:widowControl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992" w:type="dxa"/>
            <w:noWrap w:val="0"/>
            <w:vAlign w:val="center"/>
          </w:tcPr>
          <w:p>
            <w:pPr>
              <w:widowControl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完成市定目标</w:t>
            </w:r>
          </w:p>
        </w:tc>
        <w:tc>
          <w:tcPr>
            <w:tcW w:w="1134" w:type="dxa"/>
            <w:noWrap w:val="0"/>
            <w:vAlign w:val="center"/>
          </w:tcPr>
          <w:p>
            <w:pPr>
              <w:widowControl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1031" w:type="dxa"/>
            <w:noWrap w:val="0"/>
            <w:vAlign w:val="center"/>
          </w:tcPr>
          <w:p>
            <w:pPr>
              <w:widowControl w:val="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约束性</w:t>
            </w:r>
          </w:p>
        </w:tc>
      </w:tr>
    </w:tbl>
    <w:p>
      <w:pPr>
        <w:widowControl w:val="0"/>
        <w:spacing w:line="560" w:lineRule="exact"/>
        <w:rPr>
          <w:rFonts w:hint="eastAsia" w:ascii="仿宋_GB2312" w:hAnsi="仿宋_GB2312" w:eastAsia="仿宋_GB2312" w:cs="仿宋_GB2312"/>
        </w:rPr>
        <w:sectPr>
          <w:pgSz w:w="11906" w:h="16838"/>
          <w:pgMar w:top="2098" w:right="1531" w:bottom="1985" w:left="1531" w:header="851" w:footer="992" w:gutter="0"/>
          <w:cols w:space="720" w:num="1"/>
          <w:docGrid w:type="linesAndChars" w:linePitch="312" w:charSpace="0"/>
        </w:sectPr>
      </w:pPr>
      <w:r>
        <w:rPr>
          <w:rFonts w:hint="eastAsia" w:ascii="仿宋_GB2312" w:hAnsi="仿宋_GB2312" w:eastAsia="仿宋_GB2312" w:cs="仿宋_GB2312"/>
        </w:rPr>
        <w:t>注：1.GDP增长、全员劳动生产率增长、居民人均可支配收入增长率按2020年可比价计算；2.</w:t>
      </w:r>
      <w:r>
        <w:rPr>
          <w:rFonts w:hint="eastAsia" w:ascii="仿宋_GB2312" w:hAnsi="仿宋_GB2312" w:eastAsia="仿宋_GB2312" w:cs="仿宋_GB2312"/>
          <w:spacing w:val="-10"/>
        </w:rPr>
        <w:t>[ ]为5年内累计数。</w:t>
      </w:r>
    </w:p>
    <w:p>
      <w:pPr>
        <w:widowControl w:val="0"/>
        <w:spacing w:before="240" w:after="100" w:afterAutospacing="1" w:line="560" w:lineRule="exact"/>
        <w:jc w:val="center"/>
        <w:outlineLvl w:val="0"/>
        <w:rPr>
          <w:rFonts w:ascii="Times New Roman" w:hAnsi="Times New Roman" w:eastAsia="黑体" w:cs="Times New Roman"/>
          <w:kern w:val="32"/>
          <w:sz w:val="32"/>
          <w:szCs w:val="32"/>
        </w:rPr>
      </w:pPr>
      <w:bookmarkStart w:id="28" w:name="_Toc26007"/>
      <w:bookmarkStart w:id="29" w:name="_Toc47971152"/>
      <w:bookmarkStart w:id="30" w:name="_Toc47971150"/>
      <w:r>
        <w:rPr>
          <w:rFonts w:ascii="Times New Roman" w:hAnsi="Times New Roman" w:eastAsia="黑体" w:cs="Times New Roman"/>
          <w:kern w:val="32"/>
          <w:sz w:val="32"/>
          <w:szCs w:val="32"/>
        </w:rPr>
        <w:t>第三章  优化区域空间布局 加快全域一体化发展</w:t>
      </w:r>
      <w:bookmarkEnd w:id="28"/>
    </w:p>
    <w:p>
      <w:pPr>
        <w:widowControl w:val="0"/>
        <w:spacing w:line="56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贯彻落实全国、全省区域协调发展战略，积极融入全市“一心两带</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多点支撑、全域一体”区域空间布局，在加速融合、协同发展中增创比较优势和竞争优势。</w:t>
      </w:r>
    </w:p>
    <w:p>
      <w:pPr>
        <w:widowControl w:val="0"/>
        <w:spacing w:before="240" w:after="60" w:line="560" w:lineRule="exact"/>
        <w:jc w:val="center"/>
        <w:outlineLvl w:val="1"/>
        <w:rPr>
          <w:rFonts w:ascii="Times New Roman" w:hAnsi="Times New Roman" w:eastAsia="楷体_GB2312" w:cs="Times New Roman"/>
          <w:b/>
          <w:bCs/>
          <w:sz w:val="32"/>
          <w:szCs w:val="32"/>
        </w:rPr>
      </w:pPr>
      <w:bookmarkStart w:id="31" w:name="_Toc52190613"/>
      <w:bookmarkStart w:id="32" w:name="_Toc12806"/>
      <w:r>
        <w:rPr>
          <w:rFonts w:ascii="Times New Roman" w:hAnsi="Times New Roman" w:eastAsia="楷体_GB2312" w:cs="Times New Roman"/>
          <w:b/>
          <w:bCs/>
          <w:sz w:val="32"/>
          <w:szCs w:val="32"/>
        </w:rPr>
        <w:t xml:space="preserve">第一节 </w:t>
      </w:r>
      <w:bookmarkEnd w:id="31"/>
      <w:r>
        <w:rPr>
          <w:rFonts w:ascii="Times New Roman" w:hAnsi="Times New Roman" w:eastAsia="楷体_GB2312" w:cs="Times New Roman"/>
          <w:b/>
          <w:bCs/>
          <w:sz w:val="32"/>
          <w:szCs w:val="32"/>
        </w:rPr>
        <w:t xml:space="preserve"> 优化空间发展总体布局</w:t>
      </w:r>
      <w:bookmarkEnd w:id="32"/>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尊重、顺应城市发展规律，充分依托西塞山区位优势，集聚要素资源，积极融入全市空间布局</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东向打造临港产业园，成为承接黄石新港辐射带动的桥头堡；西向加快黄荆山文旅新区建设，推动沿山区域发展，成为新的发展引擎，统筹谋划李家坊-胡家湾-石料山区域建设，打造磁湖南岸新城；中部持续推进城市更新改造，改善市政短板，推进区域协调发展。</w:t>
      </w:r>
    </w:p>
    <w:p>
      <w:pPr>
        <w:widowControl w:val="0"/>
        <w:spacing w:before="240" w:after="60" w:line="560" w:lineRule="exact"/>
        <w:jc w:val="center"/>
        <w:outlineLvl w:val="1"/>
        <w:rPr>
          <w:rFonts w:ascii="Times New Roman" w:hAnsi="Times New Roman" w:eastAsia="楷体_GB2312" w:cs="Times New Roman"/>
          <w:b/>
          <w:bCs/>
          <w:sz w:val="32"/>
          <w:szCs w:val="32"/>
        </w:rPr>
      </w:pPr>
      <w:bookmarkStart w:id="33" w:name="_Toc28198"/>
      <w:r>
        <w:rPr>
          <w:rFonts w:ascii="Times New Roman" w:hAnsi="Times New Roman" w:eastAsia="楷体_GB2312" w:cs="Times New Roman"/>
          <w:b/>
          <w:bCs/>
          <w:sz w:val="32"/>
          <w:szCs w:val="32"/>
        </w:rPr>
        <w:t>第二节  推进区域融合发展</w:t>
      </w:r>
      <w:bookmarkEnd w:id="33"/>
    </w:p>
    <w:p>
      <w:pPr>
        <w:widowControl w:val="0"/>
        <w:spacing w:line="56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推进全域城乡融合、产城融合、新区与老城融合以及跨区融合发展。</w:t>
      </w:r>
    </w:p>
    <w:p>
      <w:pPr>
        <w:pStyle w:val="4"/>
        <w:keepNext w:val="0"/>
        <w:keepLines w:val="0"/>
        <w:widowControl w:val="0"/>
        <w:spacing w:before="0" w:after="0" w:line="560" w:lineRule="exact"/>
        <w:ind w:left="420" w:leftChars="200" w:firstLine="160" w:firstLineChars="50"/>
        <w:jc w:val="both"/>
        <w:rPr>
          <w:rFonts w:ascii="Times New Roman" w:hAnsi="Times New Roman" w:eastAsia="黑体" w:cs="Times New Roman"/>
          <w:b w:val="0"/>
          <w:bCs w:val="0"/>
          <w:lang w:val="zh-CN"/>
        </w:rPr>
      </w:pPr>
      <w:r>
        <w:rPr>
          <w:rFonts w:ascii="Times New Roman" w:hAnsi="Times New Roman" w:eastAsia="黑体" w:cs="Times New Roman"/>
          <w:b w:val="0"/>
          <w:bCs w:val="0"/>
          <w:lang w:val="zh-CN"/>
        </w:rPr>
        <w:t>一、突出沿江高质量发展带，加快产城融合</w:t>
      </w:r>
    </w:p>
    <w:p>
      <w:pPr>
        <w:widowControl w:val="0"/>
        <w:spacing w:line="56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充分发挥西塞山区联结水港、空港的区位交通优势，深化与周边地区务实合作，在产业协同、要素配置、公共事业发展等方面建立常态化协作机制，引领黄石沿江高质量发展带崛起。坚持以产聚人、以人旺城</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以城促产，积极承接资金、技术、劳动密集型产业梯度转移，科学布局品牌经济、网络经济、节会经济等新业态新模式，着力提升文娱、体育、养老、托幼等服务性消费品质，吸引更多“新西塞山人”落户。</w:t>
      </w:r>
    </w:p>
    <w:p>
      <w:pPr>
        <w:pStyle w:val="4"/>
        <w:keepNext w:val="0"/>
        <w:keepLines w:val="0"/>
        <w:widowControl w:val="0"/>
        <w:spacing w:before="0" w:after="0" w:line="560" w:lineRule="exact"/>
        <w:ind w:left="420" w:leftChars="200" w:firstLine="160" w:firstLineChars="50"/>
        <w:jc w:val="both"/>
        <w:rPr>
          <w:rFonts w:ascii="Times New Roman" w:hAnsi="Times New Roman" w:eastAsia="黑体" w:cs="Times New Roman"/>
          <w:b w:val="0"/>
          <w:bCs w:val="0"/>
          <w:lang w:val="zh-CN"/>
        </w:rPr>
      </w:pPr>
      <w:r>
        <w:rPr>
          <w:rFonts w:ascii="Times New Roman" w:hAnsi="Times New Roman" w:eastAsia="黑体" w:cs="Times New Roman"/>
          <w:b w:val="0"/>
          <w:bCs w:val="0"/>
          <w:lang w:val="zh-CN"/>
        </w:rPr>
        <w:t>二、对接黄石新港，加快港城融合</w:t>
      </w:r>
    </w:p>
    <w:p>
      <w:pPr>
        <w:widowControl w:val="0"/>
        <w:spacing w:line="56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坚持依托新港、对接新港、服务新港，推动基础设施互联互通、产业发展错位互补、公共服务共建共享。推进交通互联，加快315省道、大棋路河口段和张志和大道建设，改造升级河西大道，强化输港交通枢纽地位。推进产业互补，强化错位发展，优化产业布局，加强产业链供应链协作，合作共建沿江临港优势产业集群。推进服务共享，疏通堵点难点，促进新港与园区、城区之间教育、医疗等公共资源互通共享、互促共进。</w:t>
      </w:r>
    </w:p>
    <w:p>
      <w:pPr>
        <w:pStyle w:val="4"/>
        <w:keepNext w:val="0"/>
        <w:keepLines w:val="0"/>
        <w:widowControl w:val="0"/>
        <w:spacing w:before="0" w:after="0" w:line="560" w:lineRule="exact"/>
        <w:ind w:left="420" w:leftChars="200" w:firstLine="160" w:firstLineChars="50"/>
        <w:jc w:val="both"/>
        <w:rPr>
          <w:rFonts w:ascii="Times New Roman" w:hAnsi="Times New Roman" w:eastAsia="黑体" w:cs="Times New Roman"/>
          <w:b w:val="0"/>
          <w:bCs w:val="0"/>
          <w:lang w:val="zh-CN"/>
        </w:rPr>
      </w:pPr>
      <w:r>
        <w:rPr>
          <w:rFonts w:ascii="Times New Roman" w:hAnsi="Times New Roman" w:eastAsia="黑体" w:cs="Times New Roman"/>
          <w:b w:val="0"/>
          <w:bCs w:val="0"/>
          <w:lang w:val="zh-CN"/>
        </w:rPr>
        <w:t>三、实施乡村建设，加快城乡融合</w:t>
      </w:r>
    </w:p>
    <w:p>
      <w:pPr>
        <w:widowControl w:val="0"/>
        <w:spacing w:line="56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坚持规划引领，稳妥推进“村改居”，着力优化村组布局。统筹“山水林田湖路村”，加强乡村生态保护与修复，持续改善乡村人居环境，争创国家级、省级“生态村镇”、“美丽乡村示范村”。完善乡村基础设施，提升农村安全饮水标准，畅通乡村物流体系。做好还建小区党组织和居委会组建工作，提高小区物业管理水平，推进农村公共服务供给多元化、城乡公共服务均等化。</w:t>
      </w:r>
    </w:p>
    <w:p>
      <w:pPr>
        <w:pStyle w:val="4"/>
        <w:keepNext w:val="0"/>
        <w:keepLines w:val="0"/>
        <w:widowControl w:val="0"/>
        <w:spacing w:before="0" w:after="0" w:line="560" w:lineRule="exact"/>
        <w:ind w:left="420" w:leftChars="200" w:firstLine="160" w:firstLineChars="50"/>
        <w:jc w:val="both"/>
        <w:rPr>
          <w:rFonts w:ascii="Times New Roman" w:hAnsi="Times New Roman" w:eastAsia="黑体" w:cs="Times New Roman"/>
          <w:b w:val="0"/>
          <w:bCs w:val="0"/>
          <w:lang w:val="zh-CN"/>
        </w:rPr>
      </w:pPr>
      <w:r>
        <w:rPr>
          <w:rFonts w:ascii="Times New Roman" w:hAnsi="Times New Roman" w:eastAsia="黑体" w:cs="Times New Roman"/>
          <w:b w:val="0"/>
          <w:bCs w:val="0"/>
          <w:lang w:val="zh-CN"/>
        </w:rPr>
        <w:t>四、加快内外联动，促进协同发展</w:t>
      </w:r>
    </w:p>
    <w:p>
      <w:pPr>
        <w:widowControl w:val="0"/>
        <w:spacing w:line="560" w:lineRule="exact"/>
        <w:ind w:firstLine="64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加快区内协同，支持各镇</w:t>
      </w:r>
      <w:r>
        <w:rPr>
          <w:rFonts w:ascii="Times New Roman" w:hAnsi="Times New Roman" w:eastAsia="仿宋_GB2312" w:cs="Times New Roman"/>
          <w:sz w:val="32"/>
          <w:szCs w:val="32"/>
        </w:rPr>
        <w:t>(街)发挥自身优势，打造特色增长极，以河口西塞中心区、黄思湾、上窑、大上海、胡家湾为主要节点，推动人口集中、产业集聚、功能集成、要素集约，形成若干城市功能组团。</w:t>
      </w:r>
      <w:r>
        <w:rPr>
          <w:rFonts w:hint="eastAsia" w:ascii="Times New Roman" w:hAnsi="Times New Roman" w:eastAsia="仿宋_GB2312" w:cs="Times New Roman"/>
          <w:sz w:val="32"/>
          <w:szCs w:val="32"/>
        </w:rPr>
        <w:t>推动区外协同，</w:t>
      </w:r>
      <w:r>
        <w:rPr>
          <w:rFonts w:ascii="Times New Roman" w:hAnsi="Times New Roman" w:eastAsia="仿宋_GB2312" w:cs="Times New Roman"/>
          <w:sz w:val="32"/>
          <w:szCs w:val="32"/>
        </w:rPr>
        <w:t>打造旅游环线，</w:t>
      </w:r>
      <w:r>
        <w:rPr>
          <w:rFonts w:hint="eastAsia" w:ascii="Times New Roman" w:hAnsi="Times New Roman" w:eastAsia="仿宋_GB2312" w:cs="Times New Roman"/>
          <w:sz w:val="32"/>
          <w:szCs w:val="32"/>
        </w:rPr>
        <w:t>促使</w:t>
      </w:r>
      <w:r>
        <w:rPr>
          <w:rFonts w:ascii="Times New Roman" w:hAnsi="Times New Roman" w:eastAsia="仿宋_GB2312" w:cs="Times New Roman"/>
          <w:sz w:val="32"/>
          <w:szCs w:val="32"/>
        </w:rPr>
        <w:t>黄荆山与团城山旅游资源有效串联，推进旅游优势资源协同发展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加速临港产业集群，推进临港产业园区与新港物流园区协同发展，打造内外联动发展样板。</w:t>
      </w:r>
    </w:p>
    <w:p>
      <w:pPr>
        <w:widowControl w:val="0"/>
        <w:spacing w:before="240" w:after="60" w:line="560" w:lineRule="exact"/>
        <w:jc w:val="center"/>
        <w:outlineLvl w:val="1"/>
        <w:rPr>
          <w:rFonts w:ascii="Times New Roman" w:hAnsi="Times New Roman" w:eastAsia="楷体_GB2312" w:cs="Times New Roman"/>
          <w:b/>
          <w:bCs/>
          <w:sz w:val="32"/>
          <w:szCs w:val="32"/>
        </w:rPr>
      </w:pPr>
      <w:bookmarkStart w:id="34" w:name="_Toc18800"/>
      <w:bookmarkStart w:id="35" w:name="_Toc53743448"/>
      <w:bookmarkStart w:id="36" w:name="_Toc55555957"/>
      <w:bookmarkStart w:id="37" w:name="_Toc54081261"/>
      <w:bookmarkStart w:id="38" w:name="_Toc15373"/>
      <w:r>
        <w:rPr>
          <w:rFonts w:ascii="Times New Roman" w:hAnsi="Times New Roman" w:eastAsia="楷体_GB2312" w:cs="Times New Roman"/>
          <w:b/>
          <w:bCs/>
          <w:sz w:val="32"/>
          <w:szCs w:val="32"/>
        </w:rPr>
        <w:t>第三节  加强国土空间管控</w:t>
      </w:r>
      <w:bookmarkEnd w:id="34"/>
    </w:p>
    <w:bookmarkEnd w:id="29"/>
    <w:bookmarkEnd w:id="35"/>
    <w:bookmarkEnd w:id="36"/>
    <w:bookmarkEnd w:id="37"/>
    <w:bookmarkEnd w:id="38"/>
    <w:p>
      <w:pPr>
        <w:widowControl w:val="0"/>
        <w:spacing w:line="560" w:lineRule="exact"/>
        <w:ind w:firstLine="640"/>
        <w:jc w:val="both"/>
        <w:rPr>
          <w:rFonts w:ascii="Times New Roman" w:hAnsi="Times New Roman" w:eastAsia="仿宋_GB2312" w:cs="Times New Roman"/>
          <w:sz w:val="32"/>
          <w:szCs w:val="32"/>
        </w:rPr>
        <w:sectPr>
          <w:pgSz w:w="11906" w:h="16838"/>
          <w:pgMar w:top="2098" w:right="1531" w:bottom="1985" w:left="1531" w:header="851" w:footer="992" w:gutter="0"/>
          <w:cols w:space="720" w:num="1"/>
          <w:docGrid w:type="linesAndChars" w:linePitch="312" w:charSpace="0"/>
        </w:sectPr>
      </w:pPr>
      <w:r>
        <w:rPr>
          <w:rFonts w:ascii="Times New Roman" w:hAnsi="Times New Roman" w:eastAsia="仿宋_GB2312" w:cs="Times New Roman"/>
          <w:sz w:val="32"/>
          <w:szCs w:val="32"/>
        </w:rPr>
        <w:t>发挥国土空间规划的引导和约束作用，强化格局、目标、体系、要素、设施、底线“六统筹”，统筹全域空间开发。完善国土空间规划传导机制，建立县域（县域规划）一片区（分区规划）一单元（详细规划）的三级规划传导机制。完善国土空间规划实施机制，从国土空间用途管制体系、主体功能区划实施政策措施、规划评估修订及动态调整机制等方面，形成绩效管理体系。建立“一平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一系统”空间规划实施监督与评估预警</w:t>
      </w:r>
      <w:r>
        <w:rPr>
          <w:rFonts w:hint="eastAsia" w:ascii="Times New Roman" w:hAnsi="Times New Roman" w:eastAsia="仿宋_GB2312" w:cs="Times New Roman"/>
          <w:sz w:val="32"/>
          <w:szCs w:val="32"/>
        </w:rPr>
        <w:t>机制</w:t>
      </w:r>
      <w:r>
        <w:rPr>
          <w:rFonts w:ascii="Times New Roman" w:hAnsi="Times New Roman" w:eastAsia="仿宋_GB2312" w:cs="Times New Roman"/>
          <w:sz w:val="32"/>
          <w:szCs w:val="32"/>
        </w:rPr>
        <w:t>。</w:t>
      </w:r>
    </w:p>
    <w:p>
      <w:pPr>
        <w:widowControl w:val="0"/>
        <w:spacing w:line="560" w:lineRule="exact"/>
        <w:jc w:val="center"/>
        <w:outlineLvl w:val="0"/>
        <w:rPr>
          <w:rFonts w:ascii="Times New Roman" w:hAnsi="Times New Roman" w:eastAsia="黑体" w:cs="Times New Roman"/>
          <w:kern w:val="32"/>
          <w:sz w:val="32"/>
          <w:szCs w:val="32"/>
        </w:rPr>
      </w:pPr>
      <w:bookmarkStart w:id="39" w:name="_Toc27840"/>
      <w:r>
        <w:rPr>
          <w:rFonts w:ascii="Times New Roman" w:hAnsi="Times New Roman" w:eastAsia="黑体" w:cs="Times New Roman"/>
          <w:kern w:val="32"/>
          <w:sz w:val="32"/>
          <w:szCs w:val="32"/>
        </w:rPr>
        <w:t>第四章  建设“全国科技创新百强区” 打造创新创业西塞山</w:t>
      </w:r>
      <w:bookmarkEnd w:id="39"/>
    </w:p>
    <w:bookmarkEnd w:id="30"/>
    <w:p>
      <w:pPr>
        <w:widowControl w:val="0"/>
        <w:spacing w:line="56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围绕黄石“创新活力之城”目标，以建设“全国科技创新百强区”为抓手，打造创新创业西塞山。坚持把创新摆在发展全局的核心位置，深入实施人才强区战略、创新驱动发展战略，不断完善创新体系，全面优化营商环境，着力建设科技强区。</w:t>
      </w:r>
    </w:p>
    <w:p>
      <w:pPr>
        <w:widowControl w:val="0"/>
        <w:spacing w:before="240" w:after="60" w:line="560" w:lineRule="exact"/>
        <w:jc w:val="center"/>
        <w:outlineLvl w:val="1"/>
        <w:rPr>
          <w:rFonts w:ascii="Times New Roman" w:hAnsi="Times New Roman" w:eastAsia="楷体_GB2312" w:cs="Times New Roman"/>
          <w:b/>
          <w:bCs/>
          <w:sz w:val="32"/>
          <w:szCs w:val="32"/>
        </w:rPr>
      </w:pPr>
      <w:bookmarkStart w:id="40" w:name="_Toc30389"/>
      <w:r>
        <w:rPr>
          <w:rFonts w:ascii="Times New Roman" w:hAnsi="Times New Roman" w:eastAsia="楷体_GB2312" w:cs="Times New Roman"/>
          <w:b/>
          <w:bCs/>
          <w:sz w:val="32"/>
          <w:szCs w:val="32"/>
        </w:rPr>
        <w:t xml:space="preserve">第一节  </w:t>
      </w:r>
      <w:bookmarkStart w:id="41" w:name="_Hlk60298873"/>
      <w:r>
        <w:rPr>
          <w:rFonts w:ascii="Times New Roman" w:hAnsi="Times New Roman" w:eastAsia="楷体_GB2312" w:cs="Times New Roman"/>
          <w:b/>
          <w:bCs/>
          <w:sz w:val="32"/>
          <w:szCs w:val="32"/>
        </w:rPr>
        <w:t>构建完备创新创业体系</w:t>
      </w:r>
      <w:bookmarkEnd w:id="40"/>
      <w:bookmarkEnd w:id="41"/>
    </w:p>
    <w:p>
      <w:pPr>
        <w:widowControl w:val="0"/>
        <w:spacing w:line="56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坚持创新在全区现代化建设全局中的核心地位，大力实施创新驱动战略，构建完备创新体系，实现区域创新能力和竞争力整体提升。力争到2025年，高新技术产业增加值占GDP比重达到30%。</w:t>
      </w:r>
    </w:p>
    <w:p>
      <w:pPr>
        <w:pStyle w:val="4"/>
        <w:keepNext w:val="0"/>
        <w:keepLines w:val="0"/>
        <w:widowControl w:val="0"/>
        <w:spacing w:before="0" w:after="0" w:line="560" w:lineRule="exact"/>
        <w:ind w:left="420" w:leftChars="200" w:firstLine="160" w:firstLineChars="50"/>
        <w:jc w:val="both"/>
        <w:rPr>
          <w:rFonts w:ascii="Times New Roman" w:hAnsi="Times New Roman" w:eastAsia="黑体" w:cs="Times New Roman"/>
          <w:b w:val="0"/>
          <w:bCs w:val="0"/>
          <w:lang w:val="zh-CN"/>
        </w:rPr>
      </w:pPr>
      <w:r>
        <w:rPr>
          <w:rFonts w:ascii="Times New Roman" w:hAnsi="Times New Roman" w:eastAsia="黑体" w:cs="Times New Roman"/>
          <w:b w:val="0"/>
          <w:bCs w:val="0"/>
          <w:lang w:val="zh-CN"/>
        </w:rPr>
        <w:t>一、</w:t>
      </w:r>
      <w:r>
        <w:rPr>
          <w:rFonts w:hint="eastAsia" w:ascii="Times New Roman" w:hAnsi="Times New Roman" w:eastAsia="黑体" w:cs="Times New Roman"/>
          <w:b w:val="0"/>
          <w:bCs w:val="0"/>
          <w:lang w:val="zh-CN"/>
        </w:rPr>
        <w:t>推动</w:t>
      </w:r>
      <w:r>
        <w:rPr>
          <w:rFonts w:ascii="Times New Roman" w:hAnsi="Times New Roman" w:eastAsia="黑体" w:cs="Times New Roman"/>
          <w:b w:val="0"/>
          <w:bCs w:val="0"/>
          <w:lang w:val="zh-CN"/>
        </w:rPr>
        <w:t>区域创新协作</w:t>
      </w:r>
    </w:p>
    <w:p>
      <w:pPr>
        <w:widowControl w:val="0"/>
        <w:spacing w:line="56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围绕产业链布局创新链，梳理产业升级和企业发展需求，引导创新要素向实体经济集聚，构建“产业+平台+人才”体系。实行科技项目“揭榜挂帅”制度，开展重大技术攻关，解决制约产业发展的技术瓶颈问题。深化政产学研协同创新，支持黄石科创模具技术研究院创建国家级检验和研发中心。积极参与区域创新协作，抢抓黄石建设离岸科创中心机遇，完善承接科技成果转化的平台机制。</w:t>
      </w:r>
    </w:p>
    <w:p>
      <w:pPr>
        <w:pStyle w:val="4"/>
        <w:keepNext w:val="0"/>
        <w:keepLines w:val="0"/>
        <w:widowControl w:val="0"/>
        <w:spacing w:before="0" w:after="0" w:line="560" w:lineRule="exact"/>
        <w:ind w:left="420" w:leftChars="200" w:firstLine="160" w:firstLineChars="50"/>
        <w:jc w:val="both"/>
        <w:rPr>
          <w:rFonts w:ascii="Times New Roman" w:hAnsi="Times New Roman" w:eastAsia="黑体" w:cs="Times New Roman"/>
          <w:b w:val="0"/>
          <w:bCs w:val="0"/>
          <w:lang w:val="zh-CN"/>
        </w:rPr>
      </w:pPr>
      <w:r>
        <w:rPr>
          <w:rFonts w:ascii="Times New Roman" w:hAnsi="Times New Roman" w:eastAsia="黑体" w:cs="Times New Roman"/>
          <w:b w:val="0"/>
          <w:bCs w:val="0"/>
          <w:lang w:val="zh-CN"/>
        </w:rPr>
        <w:t>二、完善创新体制机制</w:t>
      </w:r>
    </w:p>
    <w:p>
      <w:pPr>
        <w:widowControl w:val="0"/>
        <w:spacing w:line="56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加快推进科技体制改革，建立健全以企业为主体、以市场为主导、产学研相结合的开放型区域创新体系。成立区科技创新委员会，建立和完善统筹领导全区科技创新工作的体制机制。完善激励创新创业政策，加大对企业研发投入、科技成果转化、企业孵化培育等支持力度。健全科技创新多元化投入机制，建立政府、企业、金融、社会协同推进创新创业投入新格局，运用担保、贴息、发行企业集合债券、上市融资等多种金融工具，培育创新创业需求的资本市场。发挥政府创投引导基金和财税政策作用，对种子期、初创期科技型中小企业给予支持。建立创新创业平台质量管理、优胜劣汰发展机制，引导创新创业平台专业化、精细化发展。</w:t>
      </w:r>
    </w:p>
    <w:p>
      <w:pPr>
        <w:pStyle w:val="4"/>
        <w:keepNext w:val="0"/>
        <w:keepLines w:val="0"/>
        <w:widowControl w:val="0"/>
        <w:spacing w:before="0" w:after="0" w:line="560" w:lineRule="exact"/>
        <w:ind w:left="420" w:leftChars="200" w:firstLine="160" w:firstLineChars="50"/>
        <w:jc w:val="both"/>
        <w:rPr>
          <w:rFonts w:ascii="Times New Roman" w:hAnsi="Times New Roman" w:eastAsia="黑体" w:cs="Times New Roman"/>
          <w:b w:val="0"/>
          <w:bCs w:val="0"/>
          <w:lang w:val="zh-CN"/>
        </w:rPr>
      </w:pPr>
      <w:r>
        <w:rPr>
          <w:rFonts w:ascii="Times New Roman" w:hAnsi="Times New Roman" w:eastAsia="黑体" w:cs="Times New Roman"/>
          <w:b w:val="0"/>
          <w:bCs w:val="0"/>
          <w:lang w:val="zh-CN"/>
        </w:rPr>
        <w:t>三、</w:t>
      </w:r>
      <w:bookmarkStart w:id="42" w:name="_Toc55555936"/>
      <w:bookmarkStart w:id="43" w:name="_Toc54081240"/>
      <w:bookmarkStart w:id="44" w:name="_Toc53743427"/>
      <w:bookmarkStart w:id="45" w:name="_Toc26580"/>
      <w:r>
        <w:rPr>
          <w:rFonts w:ascii="Times New Roman" w:hAnsi="Times New Roman" w:eastAsia="黑体" w:cs="Times New Roman"/>
          <w:b w:val="0"/>
          <w:bCs w:val="0"/>
          <w:lang w:val="zh-CN"/>
        </w:rPr>
        <w:t>构建“双循环”新平台</w:t>
      </w:r>
      <w:bookmarkEnd w:id="42"/>
      <w:bookmarkEnd w:id="43"/>
      <w:bookmarkEnd w:id="44"/>
      <w:bookmarkEnd w:id="45"/>
    </w:p>
    <w:p>
      <w:pPr>
        <w:widowControl w:val="0"/>
        <w:spacing w:line="56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抢抓“双循环”机遇，深度对接黄石新港，全面对接顺丰空港，主动对接国家级经济开发区和高新区，加强规划衔接、设施联通、产业配套、要素配置、口岸通关等全方位交流合作，推动区域协同融合发展。充分发挥工业园区区位、交通和产业基础优势，争取市级平台公司支持，加快完善园区规划、交通路网、水电气热、生态环保等基础设施，强化土地、用工、金融、物流等要素供给，把工业园区打造成为黄石承接产业布局和转移首选地。积极推动实施沿山公路建设、沿江公路综合整治、黄思湾隧道改扩建等重大项目，打破城区交通“瓶颈”，加快沿江环湖开放开发进程。加强对国家重大战略、重点产业的深度研究，加强与各界商会、行业协会和商业团体合作，积极参与各种经贸推介活动。大力引进国内外知名企业，提高利用外资水平，既注重引进实力强、规模大的支柱型大项目，又注重引进成长性好</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产业关联配套能力强的科技型、创新型、集群型项目。</w:t>
      </w:r>
    </w:p>
    <w:p>
      <w:pPr>
        <w:pStyle w:val="4"/>
        <w:keepNext w:val="0"/>
        <w:keepLines w:val="0"/>
        <w:widowControl w:val="0"/>
        <w:spacing w:before="0" w:after="0" w:line="560" w:lineRule="exact"/>
        <w:ind w:left="420" w:leftChars="200" w:firstLine="160" w:firstLineChars="50"/>
        <w:jc w:val="both"/>
        <w:rPr>
          <w:rFonts w:ascii="Times New Roman" w:hAnsi="Times New Roman" w:eastAsia="黑体" w:cs="Times New Roman"/>
          <w:b w:val="0"/>
          <w:bCs w:val="0"/>
          <w:lang w:val="zh-CN"/>
        </w:rPr>
      </w:pPr>
      <w:r>
        <w:rPr>
          <w:rFonts w:hint="eastAsia" w:ascii="Times New Roman" w:hAnsi="Times New Roman" w:eastAsia="黑体" w:cs="Times New Roman"/>
          <w:b w:val="0"/>
          <w:bCs w:val="0"/>
          <w:lang w:val="zh-CN"/>
        </w:rPr>
        <w:t>四</w:t>
      </w:r>
      <w:r>
        <w:rPr>
          <w:rFonts w:ascii="Times New Roman" w:hAnsi="Times New Roman" w:eastAsia="黑体" w:cs="Times New Roman"/>
          <w:b w:val="0"/>
          <w:bCs w:val="0"/>
          <w:lang w:val="zh-CN"/>
        </w:rPr>
        <w:t>、搭建创新创业综合服务平台</w:t>
      </w:r>
    </w:p>
    <w:p>
      <w:pPr>
        <w:widowControl w:val="0"/>
        <w:spacing w:line="56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进一步加快大上海众创空间、浙楚企业孵化器平台建设，积极创建国家级创业孵化基地，充分发挥创业孵化基地孵化功能，以培育创业实体、促进创业带动就业为目标，为高质量发展培育更多优质企业，起到示范引领和辐射带动作用。建设区级就业创业信息平台。运用智能匹配、精准推送、数据筛选等技术手段，打造“互联网”+“招聘+就业+创业+培训+服务”五位一体智慧化就业创业服务平台，实现全区就(创)业数据大集中，做到数据在线分析、决策挂图指挥。</w:t>
      </w:r>
    </w:p>
    <w:p>
      <w:pPr>
        <w:widowControl w:val="0"/>
        <w:spacing w:before="240" w:after="60" w:line="560" w:lineRule="exact"/>
        <w:jc w:val="center"/>
        <w:outlineLvl w:val="1"/>
        <w:rPr>
          <w:rFonts w:ascii="Times New Roman" w:hAnsi="Times New Roman" w:eastAsia="楷体_GB2312" w:cs="Times New Roman"/>
          <w:b/>
          <w:bCs/>
          <w:sz w:val="32"/>
          <w:szCs w:val="32"/>
        </w:rPr>
      </w:pPr>
      <w:bookmarkStart w:id="46" w:name="_Toc727"/>
      <w:r>
        <w:rPr>
          <w:rFonts w:ascii="Times New Roman" w:hAnsi="Times New Roman" w:eastAsia="楷体_GB2312" w:cs="Times New Roman"/>
          <w:b/>
          <w:bCs/>
          <w:sz w:val="32"/>
          <w:szCs w:val="32"/>
        </w:rPr>
        <w:t>第二节  提升企业创新能力</w:t>
      </w:r>
      <w:bookmarkEnd w:id="46"/>
    </w:p>
    <w:p>
      <w:pPr>
        <w:widowControl w:val="0"/>
        <w:spacing w:line="56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积极培育壮大企业创新主体，加大创新力度，推进创新平台建设，加快提升科技创新能力和水平，推动科技成果加快转化为现实生产力。</w:t>
      </w:r>
    </w:p>
    <w:p>
      <w:pPr>
        <w:pStyle w:val="4"/>
        <w:keepNext w:val="0"/>
        <w:keepLines w:val="0"/>
        <w:widowControl w:val="0"/>
        <w:spacing w:before="0" w:after="0" w:line="560" w:lineRule="exact"/>
        <w:ind w:left="420" w:leftChars="200" w:firstLine="160" w:firstLineChars="50"/>
        <w:jc w:val="both"/>
        <w:rPr>
          <w:rFonts w:ascii="Times New Roman" w:hAnsi="Times New Roman" w:eastAsia="黑体" w:cs="Times New Roman"/>
          <w:b w:val="0"/>
          <w:bCs w:val="0"/>
          <w:lang w:val="zh-CN"/>
        </w:rPr>
      </w:pPr>
      <w:bookmarkStart w:id="47" w:name="_Toc54081233"/>
      <w:bookmarkStart w:id="48" w:name="_Toc15549"/>
      <w:bookmarkStart w:id="49" w:name="_Toc55555929"/>
      <w:bookmarkStart w:id="50" w:name="_Toc53743420"/>
      <w:r>
        <w:rPr>
          <w:rFonts w:ascii="Times New Roman" w:hAnsi="Times New Roman" w:eastAsia="黑体" w:cs="Times New Roman"/>
          <w:b w:val="0"/>
          <w:bCs w:val="0"/>
          <w:lang w:val="zh-CN"/>
        </w:rPr>
        <w:t>一、强化企业创新主体地位</w:t>
      </w:r>
      <w:bookmarkEnd w:id="47"/>
      <w:bookmarkEnd w:id="48"/>
      <w:bookmarkEnd w:id="49"/>
      <w:bookmarkEnd w:id="50"/>
    </w:p>
    <w:p>
      <w:pPr>
        <w:tabs>
          <w:tab w:val="left" w:pos="1770"/>
        </w:tabs>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鼓励企业自主创新，推进规上工业企业研发机构“扫零”工程，鼓励企业加大科技投入，开展应用基础研究、技术研发集成、成果中试熟化与产业化。培养更多细分领域“科技小巨人”和“隐形冠军”。支持企业组建创新联合体，加入区域性、全国性产业技术创新联盟，承担国家级和省级重大科技专项，参与行业关键前沿技术研发。支持优势企业与国内外关联企业开展合作研发、联合设计，降低研发成本，缩短研发周期，深度嵌入国内国际产业链和价值链。大力发展科技服务业，引进省市高校院所优质科创资源，扶持中小微企业创新发展。支持新冶钢、西塞电厂、振华化学等重点企业建设智能工厂、智能车间、智能生产线、云上平台，力争5年内关键工序核心装备数控化率达到60%以上，争创市级以上“两化融合”试点企业和特钢行业工业互联网平台。到“十四五”期末，全区规上制造业企业研发机构覆盖率达到100%。全区高新技术产业总量规模显著提高，逐步成为全区经济重要支撑，高新技术企业达到40家，占规上企业比例达到35%，高新技术产业增加值占GDP比重达到30%。</w:t>
      </w:r>
    </w:p>
    <w:p>
      <w:pPr>
        <w:pStyle w:val="4"/>
        <w:keepNext w:val="0"/>
        <w:keepLines w:val="0"/>
        <w:widowControl w:val="0"/>
        <w:spacing w:before="0" w:after="0" w:line="560" w:lineRule="exact"/>
        <w:ind w:left="420" w:leftChars="200" w:firstLine="160" w:firstLineChars="50"/>
        <w:jc w:val="both"/>
        <w:rPr>
          <w:rFonts w:ascii="Times New Roman" w:hAnsi="Times New Roman" w:eastAsia="黑体" w:cs="Times New Roman"/>
          <w:b w:val="0"/>
          <w:bCs w:val="0"/>
          <w:lang w:val="zh-CN"/>
        </w:rPr>
      </w:pPr>
      <w:bookmarkStart w:id="51" w:name="_Toc53743421"/>
      <w:bookmarkStart w:id="52" w:name="_Toc55555930"/>
      <w:bookmarkStart w:id="53" w:name="_Toc54081234"/>
      <w:bookmarkStart w:id="54" w:name="_Toc28358"/>
      <w:r>
        <w:rPr>
          <w:rFonts w:ascii="Times New Roman" w:hAnsi="Times New Roman" w:eastAsia="黑体" w:cs="Times New Roman"/>
          <w:b w:val="0"/>
          <w:bCs w:val="0"/>
          <w:lang w:val="zh-CN"/>
        </w:rPr>
        <w:t>二、构建科技产业化服务平台</w:t>
      </w:r>
      <w:bookmarkEnd w:id="51"/>
      <w:bookmarkEnd w:id="52"/>
      <w:bookmarkEnd w:id="53"/>
      <w:bookmarkEnd w:id="54"/>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推进西塞山区科技产业园建设，打造聚合研发设计、中试成果转化、产品展示和配套功能为一体的科技产业化服务平台，吸引高科技人才和高新技术项目集聚，促进科技成果转化与产业化。</w:t>
      </w:r>
      <w:r>
        <w:rPr>
          <w:rFonts w:ascii="Times New Roman" w:hAnsi="Times New Roman" w:eastAsia="仿宋_GB2312" w:cs="Times New Roman"/>
          <w:spacing w:val="-2"/>
          <w:sz w:val="32"/>
          <w:szCs w:val="32"/>
        </w:rPr>
        <w:t>用好用活“黄石浙楚企业港”和“云域（黄石）众创空间”两家省级大型创新创业孵化平台，孵化一批技术含量高、市场前景广阔的创新型创业企业。推进</w:t>
      </w:r>
      <w:r>
        <w:rPr>
          <w:rFonts w:ascii="Times New Roman" w:hAnsi="Times New Roman" w:eastAsia="仿宋_GB2312" w:cs="Times New Roman"/>
          <w:sz w:val="32"/>
          <w:szCs w:val="32"/>
        </w:rPr>
        <w:t>临港产业</w:t>
      </w:r>
      <w:r>
        <w:rPr>
          <w:rFonts w:hint="eastAsia" w:ascii="Times New Roman" w:hAnsi="Times New Roman" w:eastAsia="仿宋_GB2312" w:cs="Times New Roman"/>
          <w:sz w:val="32"/>
          <w:szCs w:val="32"/>
        </w:rPr>
        <w:t>园</w:t>
      </w:r>
      <w:r>
        <w:rPr>
          <w:rFonts w:ascii="Times New Roman" w:hAnsi="Times New Roman" w:eastAsia="仿宋_GB2312" w:cs="Times New Roman"/>
          <w:sz w:val="32"/>
          <w:szCs w:val="32"/>
        </w:rPr>
        <w:t>区智慧科技创新小镇建设。积极开展</w:t>
      </w:r>
      <w:r>
        <w:rPr>
          <w:rFonts w:ascii="Times New Roman" w:hAnsi="Times New Roman" w:eastAsia="仿宋_GB2312" w:cs="Times New Roman"/>
          <w:spacing w:val="-2"/>
          <w:sz w:val="32"/>
          <w:szCs w:val="32"/>
        </w:rPr>
        <w:t>模具制造产业科技孵化器项目建设，</w:t>
      </w:r>
      <w:r>
        <w:rPr>
          <w:rFonts w:ascii="Times New Roman" w:hAnsi="Times New Roman" w:eastAsia="仿宋_GB2312" w:cs="Times New Roman"/>
          <w:sz w:val="32"/>
          <w:szCs w:val="32"/>
        </w:rPr>
        <w:t>完善黄石科创模具技术研究院运营管理机制，加快模具产业科技成果转化运用和专业人才培养，力争3年内建成省级产业技术研究院，5年内建成国家级检验中心和研发中心。到“十四五”期末，创建国家级科技企业孵化器2家，引进各类科技信息服务、技术中介、技术咨询机构3-5家。</w:t>
      </w:r>
    </w:p>
    <w:p>
      <w:pPr>
        <w:pStyle w:val="4"/>
        <w:keepNext w:val="0"/>
        <w:keepLines w:val="0"/>
        <w:widowControl w:val="0"/>
        <w:spacing w:before="0" w:after="0" w:line="560" w:lineRule="exact"/>
        <w:ind w:left="420" w:leftChars="200" w:firstLine="160" w:firstLineChars="50"/>
        <w:jc w:val="both"/>
        <w:rPr>
          <w:rFonts w:ascii="Times New Roman" w:hAnsi="Times New Roman" w:eastAsia="黑体" w:cs="Times New Roman"/>
          <w:b w:val="0"/>
          <w:bCs w:val="0"/>
          <w:lang w:val="zh-CN"/>
        </w:rPr>
      </w:pPr>
      <w:bookmarkStart w:id="55" w:name="_Toc54081235"/>
      <w:bookmarkStart w:id="56" w:name="_Toc55555931"/>
      <w:bookmarkStart w:id="57" w:name="_Toc53743422"/>
      <w:bookmarkStart w:id="58" w:name="_Toc22687"/>
      <w:r>
        <w:rPr>
          <w:rFonts w:ascii="Times New Roman" w:hAnsi="Times New Roman" w:eastAsia="黑体" w:cs="Times New Roman"/>
          <w:b w:val="0"/>
          <w:bCs w:val="0"/>
          <w:lang w:val="zh-CN"/>
        </w:rPr>
        <w:t>三、加速科技成果转化</w:t>
      </w:r>
      <w:bookmarkEnd w:id="55"/>
      <w:bookmarkEnd w:id="56"/>
      <w:bookmarkEnd w:id="57"/>
      <w:bookmarkEnd w:id="58"/>
    </w:p>
    <w:p>
      <w:pPr>
        <w:widowControl w:val="0"/>
        <w:spacing w:line="56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推进工业互联网产业技术研究院建设，以湖北工程职业学院为依托，联合中国信息通信研究院、国家工业信息安全发展研究中心和北京信通传媒有限责任公司等单位共同组建而成。以工业互联网特色优势企业为依托，采用深度合作的组织机制，加快科技成果转化、促进地方工业互联网产业发展。充分发挥科创模具产业技术研究院的功能作用，通过与华科大、湖北理工等高校深度合作，发挥校企合作效能，建立产学研对接活动常态化机制，推动实施技术成果转化。</w:t>
      </w:r>
      <w:r>
        <w:rPr>
          <w:rFonts w:ascii="Times New Roman" w:hAnsi="Times New Roman" w:eastAsia="仿宋_GB2312" w:cs="Times New Roman"/>
          <w:bCs/>
          <w:sz w:val="32"/>
          <w:szCs w:val="32"/>
          <w:shd w:val="clear" w:color="auto" w:fill="FFFFFF"/>
        </w:rPr>
        <w:t>支持和鼓励工业园区和重点企业，加强与武汉知名高校院在人才引育、科技成果转化等方面的合作</w:t>
      </w:r>
      <w:r>
        <w:rPr>
          <w:rFonts w:ascii="Times New Roman" w:hAnsi="Times New Roman" w:eastAsia="仿宋_GB2312" w:cs="Times New Roman"/>
          <w:sz w:val="32"/>
          <w:szCs w:val="32"/>
        </w:rPr>
        <w:t>，加快推进一批“企业＋科研院所”模式的技术创新中心和成果转化基地建设，建立企业检验检测中心，加快企业转型升级步伐。</w:t>
      </w:r>
    </w:p>
    <w:p>
      <w:pPr>
        <w:widowControl w:val="0"/>
        <w:spacing w:before="240" w:after="60" w:line="560" w:lineRule="exact"/>
        <w:jc w:val="center"/>
        <w:outlineLvl w:val="1"/>
        <w:rPr>
          <w:rFonts w:ascii="Times New Roman" w:hAnsi="Times New Roman" w:eastAsia="楷体_GB2312" w:cs="Times New Roman"/>
          <w:b/>
          <w:bCs/>
          <w:sz w:val="32"/>
          <w:szCs w:val="32"/>
        </w:rPr>
      </w:pPr>
      <w:bookmarkStart w:id="59" w:name="_Toc3938"/>
      <w:r>
        <w:rPr>
          <w:rFonts w:ascii="Times New Roman" w:hAnsi="Times New Roman" w:eastAsia="楷体_GB2312" w:cs="Times New Roman"/>
          <w:b/>
          <w:bCs/>
          <w:sz w:val="32"/>
          <w:szCs w:val="32"/>
        </w:rPr>
        <w:t>第三节  激发人才创新活力</w:t>
      </w:r>
      <w:bookmarkEnd w:id="59"/>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深入实施人才强区战略，以人才发展体制机制改革为动力，以创新人才政策体系为统领，以重大人才工程建设为抓手，以高层次人才、高技能人才为重点统筹推进各类人才队伍建设，着力培养集聚一支矢志爱国奉献、勇于创新创造的高素质人才队伍，为推动产业转型升级、实现西塞山区高质量发展提供坚强的人才支撑和智力保障。</w:t>
      </w:r>
    </w:p>
    <w:p>
      <w:pPr>
        <w:pStyle w:val="4"/>
        <w:keepNext w:val="0"/>
        <w:keepLines w:val="0"/>
        <w:widowControl w:val="0"/>
        <w:spacing w:before="0" w:after="0" w:line="560" w:lineRule="exact"/>
        <w:ind w:left="420" w:leftChars="200" w:firstLine="160" w:firstLineChars="50"/>
        <w:jc w:val="both"/>
        <w:rPr>
          <w:rFonts w:ascii="Times New Roman" w:hAnsi="Times New Roman" w:eastAsia="黑体" w:cs="Times New Roman"/>
          <w:b w:val="0"/>
          <w:bCs w:val="0"/>
          <w:lang w:val="zh-CN"/>
        </w:rPr>
      </w:pPr>
      <w:r>
        <w:rPr>
          <w:rFonts w:ascii="Times New Roman" w:hAnsi="Times New Roman" w:eastAsia="黑体" w:cs="Times New Roman"/>
          <w:b w:val="0"/>
          <w:bCs w:val="0"/>
          <w:lang w:val="zh-CN"/>
        </w:rPr>
        <w:t>一、构建人才发展新格局</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健全党管人才工作机制。进一步完善全区人才工作决策机制、协调机制和督促落实机制，形成统分结合、协调推进的人才工作运行机制。强化人才政治引领吸纳。推进党委联系服务专家制度化常态化规范化，加强对人才的关心关怀。深入持续开展“弘扬爱国奋斗精神、建功立业新时代”教育活动，分层分类开展人才教育培训和国情省情市情区情研修，定期举办区级爱国奋斗教育示范培训班，增强</w:t>
      </w:r>
      <w:r>
        <w:rPr>
          <w:rFonts w:hint="eastAsia" w:ascii="Times New Roman" w:hAnsi="Times New Roman" w:eastAsia="仿宋_GB2312" w:cs="Times New Roman"/>
          <w:sz w:val="32"/>
          <w:szCs w:val="32"/>
        </w:rPr>
        <w:t>全区</w:t>
      </w:r>
      <w:r>
        <w:rPr>
          <w:rFonts w:ascii="Times New Roman" w:hAnsi="Times New Roman" w:eastAsia="仿宋_GB2312" w:cs="Times New Roman"/>
          <w:sz w:val="32"/>
          <w:szCs w:val="32"/>
        </w:rPr>
        <w:t>各领域知识分子的</w:t>
      </w:r>
      <w:r>
        <w:rPr>
          <w:rFonts w:ascii="Times New Roman" w:hAnsi="Times New Roman" w:eastAsia="仿宋_GB2312" w:cs="Times New Roman"/>
          <w:bCs/>
          <w:sz w:val="32"/>
          <w:szCs w:val="32"/>
        </w:rPr>
        <w:t>爱国之情、报国之志、兴国之责。</w:t>
      </w:r>
      <w:r>
        <w:rPr>
          <w:rFonts w:ascii="Times New Roman" w:hAnsi="Times New Roman" w:eastAsia="仿宋_GB2312" w:cs="Times New Roman"/>
          <w:sz w:val="32"/>
          <w:szCs w:val="32"/>
        </w:rPr>
        <w:t>营造人才工作浓厚氛围。加大人才工作宣传力度，在全区培育尊才、爱才、惜才、用才的良好风尚，打响全区人才工作品牌，切实形成人才聚集效应。探索建立区级杰出人才表彰制度，营造尊重人才、见贤思齐的良好氛围。</w:t>
      </w:r>
    </w:p>
    <w:p>
      <w:pPr>
        <w:pStyle w:val="4"/>
        <w:keepNext w:val="0"/>
        <w:keepLines w:val="0"/>
        <w:widowControl w:val="0"/>
        <w:spacing w:before="0" w:after="0" w:line="560" w:lineRule="exact"/>
        <w:ind w:left="420" w:leftChars="200" w:firstLine="160" w:firstLineChars="50"/>
        <w:jc w:val="both"/>
        <w:rPr>
          <w:rFonts w:ascii="Times New Roman" w:hAnsi="Times New Roman" w:eastAsia="黑体" w:cs="Times New Roman"/>
          <w:b w:val="0"/>
          <w:bCs w:val="0"/>
          <w:lang w:val="zh-CN"/>
        </w:rPr>
      </w:pPr>
      <w:r>
        <w:rPr>
          <w:rFonts w:ascii="Times New Roman" w:hAnsi="Times New Roman" w:eastAsia="黑体" w:cs="Times New Roman"/>
          <w:b w:val="0"/>
          <w:bCs w:val="0"/>
          <w:lang w:val="zh-CN"/>
        </w:rPr>
        <w:t>二、统筹推进人才队伍建设</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实施重点人才招引工程。围绕特钢及延伸加工、移动终端组件、汽车零部件、智能模具、生物医药等重点产业发展需求，加强专业领域人才队伍建设，加快集聚一批重点产业发展急需紧缺的高层次科技创新人才。探索制定全区“柔性引才”实施意见，柔性引进一批“高精尖缺”和“卡脖子”领域人才。实施高端人才奖励工程。继续实施“西塞科技英才”计划，每两年至少表彰10名在</w:t>
      </w:r>
      <w:r>
        <w:rPr>
          <w:rFonts w:hint="eastAsia" w:ascii="Times New Roman" w:hAnsi="Times New Roman" w:eastAsia="仿宋_GB2312" w:cs="Times New Roman"/>
          <w:sz w:val="32"/>
          <w:szCs w:val="32"/>
        </w:rPr>
        <w:t>全区</w:t>
      </w:r>
      <w:r>
        <w:rPr>
          <w:rFonts w:ascii="Times New Roman" w:hAnsi="Times New Roman" w:eastAsia="仿宋_GB2312" w:cs="Times New Roman"/>
          <w:sz w:val="32"/>
          <w:szCs w:val="32"/>
        </w:rPr>
        <w:t>重点产业（领域）做出突出贡献并处于领先地位、发挥引领和带头作用，或在推动科技成果转化、高新技术产业化中取得成果和创造经济效益的科技型人才。持续开展“西塞名医”“西塞名师”评选表彰，带动全区上下持续加强各重点领域人才的培养聚集。实施技能人才提升工程。大力弘扬“精益求精、百炼成匠”的西塞工匠精神，持续开展“西塞工匠”职业技能大赛，加强各类职业技能培训，创新技能人才评价方式，建设一支适应</w:t>
      </w:r>
      <w:r>
        <w:rPr>
          <w:rFonts w:hint="eastAsia" w:ascii="Times New Roman" w:hAnsi="Times New Roman" w:eastAsia="仿宋_GB2312" w:cs="Times New Roman"/>
          <w:sz w:val="32"/>
          <w:szCs w:val="32"/>
        </w:rPr>
        <w:t>西塞山区</w:t>
      </w:r>
      <w:r>
        <w:rPr>
          <w:rFonts w:ascii="Times New Roman" w:hAnsi="Times New Roman" w:eastAsia="仿宋_GB2312" w:cs="Times New Roman"/>
          <w:sz w:val="32"/>
          <w:szCs w:val="32"/>
        </w:rPr>
        <w:t>经济社会发展需要的技能人才队伍。</w:t>
      </w:r>
    </w:p>
    <w:p>
      <w:pPr>
        <w:pStyle w:val="4"/>
        <w:keepNext w:val="0"/>
        <w:keepLines w:val="0"/>
        <w:widowControl w:val="0"/>
        <w:spacing w:before="0" w:after="0" w:line="560" w:lineRule="exact"/>
        <w:ind w:left="420" w:leftChars="200" w:firstLine="160" w:firstLineChars="50"/>
        <w:jc w:val="both"/>
        <w:rPr>
          <w:rFonts w:ascii="Times New Roman" w:hAnsi="Times New Roman" w:eastAsia="黑体" w:cs="Times New Roman"/>
          <w:b w:val="0"/>
          <w:bCs w:val="0"/>
          <w:lang w:val="zh-CN"/>
        </w:rPr>
      </w:pPr>
      <w:r>
        <w:rPr>
          <w:rFonts w:ascii="Times New Roman" w:hAnsi="Times New Roman" w:eastAsia="黑体" w:cs="Times New Roman"/>
          <w:b w:val="0"/>
          <w:bCs w:val="0"/>
          <w:lang w:val="zh-CN"/>
        </w:rPr>
        <w:t>三、优化人才发展生态环境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高规格打造人才发展平台。持续举办西塞山区“双创”集市，为创业者提供便捷高效的“绿色通道”和“交流平台”。高层次整合人才要素资源。加快人才管理体制机制改革，完善各项配套政策体系，推动人才创新创业超市提档升级。畅通创新创业融资渠道，建立多元投入机制，完善人才创新创业风险补偿资金管理模式，助力解决人才融资难、融资贵、融资慢问题。系统梳理形成明晰可见、有据可依的引才留才工作指南，探索制定人才强区相关政策，构建更加积极有效的人才政策体系。高效率服务人才创新创业。当好人才“后勤部长”，解决好各类人才子女就学、配偶就业、老人就医等方面现实问题，做好自建人才公寓落实。探索建立人才服务专窗、专线以及专网等“一站式”综合服务平台，探索服务专员等个性化专属化服务。定期开展人才沙龙活动，促进人才日常沟通交流。</w:t>
      </w:r>
    </w:p>
    <w:p>
      <w:pPr>
        <w:widowControl w:val="0"/>
        <w:spacing w:before="240" w:after="60" w:line="560" w:lineRule="exact"/>
        <w:jc w:val="center"/>
        <w:outlineLvl w:val="1"/>
        <w:rPr>
          <w:rFonts w:ascii="Times New Roman" w:hAnsi="Times New Roman" w:eastAsia="楷体_GB2312" w:cs="Times New Roman"/>
          <w:b/>
          <w:bCs/>
          <w:sz w:val="32"/>
          <w:szCs w:val="32"/>
        </w:rPr>
      </w:pPr>
      <w:bookmarkStart w:id="60" w:name="_Toc2584"/>
      <w:bookmarkStart w:id="61" w:name="_Toc55555938"/>
      <w:bookmarkStart w:id="62" w:name="_Toc15891"/>
      <w:bookmarkStart w:id="63" w:name="_Toc54081242"/>
      <w:bookmarkStart w:id="64" w:name="_Toc53743429"/>
      <w:r>
        <w:rPr>
          <w:rFonts w:ascii="Times New Roman" w:hAnsi="Times New Roman" w:eastAsia="楷体_GB2312" w:cs="Times New Roman"/>
          <w:b/>
          <w:bCs/>
          <w:sz w:val="32"/>
          <w:szCs w:val="32"/>
        </w:rPr>
        <w:t>第四节  持续优化营商环境</w:t>
      </w:r>
      <w:bookmarkEnd w:id="60"/>
    </w:p>
    <w:p>
      <w:pPr>
        <w:widowControl w:val="0"/>
        <w:shd w:val="clear" w:color="auto" w:fill="FFFFFF"/>
        <w:spacing w:line="56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弘扬有呼必应、无事不扰“店小二”精神，更大力度打造一流政务环境、市场环境、法治环境、创新环境、开放环境。最大限度激发市场活力和社会创造力，切实以优良的营商环境推动全区经济社会高质量发展。</w:t>
      </w:r>
    </w:p>
    <w:p>
      <w:pPr>
        <w:pStyle w:val="4"/>
        <w:keepNext w:val="0"/>
        <w:keepLines w:val="0"/>
        <w:widowControl w:val="0"/>
        <w:spacing w:before="0" w:after="0" w:line="560" w:lineRule="exact"/>
        <w:ind w:left="420" w:leftChars="200" w:firstLine="160" w:firstLineChars="50"/>
        <w:jc w:val="both"/>
        <w:rPr>
          <w:rFonts w:ascii="Times New Roman" w:hAnsi="Times New Roman" w:eastAsia="黑体" w:cs="Times New Roman"/>
          <w:b w:val="0"/>
          <w:bCs w:val="0"/>
          <w:lang w:val="zh-CN"/>
        </w:rPr>
      </w:pPr>
      <w:bookmarkStart w:id="65" w:name="_Toc53743531"/>
      <w:bookmarkStart w:id="66" w:name="_Toc52190691"/>
      <w:bookmarkStart w:id="67" w:name="_Toc55556040"/>
      <w:bookmarkStart w:id="68" w:name="_Toc54081344"/>
      <w:bookmarkStart w:id="69" w:name="_Toc6583"/>
      <w:bookmarkStart w:id="70" w:name="_Toc55556039"/>
      <w:bookmarkStart w:id="71" w:name="_Toc54081343"/>
      <w:bookmarkStart w:id="72" w:name="_Toc53743530"/>
      <w:bookmarkStart w:id="73" w:name="_Toc52190690"/>
      <w:bookmarkStart w:id="74" w:name="_Toc27949"/>
      <w:r>
        <w:rPr>
          <w:rFonts w:ascii="Times New Roman" w:hAnsi="Times New Roman" w:eastAsia="黑体" w:cs="Times New Roman"/>
          <w:b w:val="0"/>
          <w:bCs w:val="0"/>
          <w:lang w:val="zh-CN"/>
        </w:rPr>
        <w:t>一、打造高效便捷的政务环境</w:t>
      </w:r>
      <w:bookmarkEnd w:id="65"/>
      <w:bookmarkEnd w:id="66"/>
      <w:bookmarkEnd w:id="67"/>
      <w:bookmarkEnd w:id="68"/>
      <w:bookmarkEnd w:id="69"/>
    </w:p>
    <w:p>
      <w:pPr>
        <w:widowControl w:val="0"/>
        <w:shd w:val="clear" w:color="auto" w:fill="FFFFFF"/>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弘扬“店小二”精神，强化服务意识。以高效办成一件事为目标，推进跨部门、跨层级、跨地区的业务流程再造与系统重构，加快“一网通办、一窗通办、一事联办”，每一件事编制一张“统一受理、分类审批、统一出件”综合受理流程图，针对综合受理流程图制定详细的实施要求和具体操作办法。优化政务大厅，加强综窗整合。统筹各级审批部门服务资源，实现审批职能统一整合进驻政务服务中心。设置投资项目、公安、医保社保等综合窗口，加强各审批部门协同合作，提升审口业务人员综合服务能力。推进电子信息应用，加强数据共享，大力推行电子证照作为法定办事依据，提升审批、监管等工作的电子化水平。完善数据信息共享机制，加强全区数据实时全量共享。深化工程项目审批改革，压缩财产登记办理时间，优化用水用电用气服务，促进行业协会、商会等社会组织健康发展。大力减轻企业负担，加快要素价格市场化改革。建立常态化政企沟通机制，营造高效政商关系。</w:t>
      </w:r>
    </w:p>
    <w:p>
      <w:pPr>
        <w:pStyle w:val="4"/>
        <w:keepNext w:val="0"/>
        <w:keepLines w:val="0"/>
        <w:widowControl w:val="0"/>
        <w:spacing w:before="0" w:after="0" w:line="560" w:lineRule="exact"/>
        <w:ind w:left="420" w:leftChars="200" w:firstLine="160" w:firstLineChars="50"/>
        <w:jc w:val="both"/>
        <w:rPr>
          <w:rFonts w:ascii="Times New Roman" w:hAnsi="Times New Roman" w:eastAsia="黑体" w:cs="Times New Roman"/>
          <w:b w:val="0"/>
          <w:bCs w:val="0"/>
          <w:lang w:val="zh-CN"/>
        </w:rPr>
      </w:pPr>
      <w:r>
        <w:rPr>
          <w:rFonts w:ascii="Times New Roman" w:hAnsi="Times New Roman" w:eastAsia="黑体" w:cs="Times New Roman"/>
          <w:b w:val="0"/>
          <w:bCs w:val="0"/>
          <w:lang w:val="zh-CN"/>
        </w:rPr>
        <w:t>二、打造公平竞争的市场环境</w:t>
      </w:r>
      <w:bookmarkEnd w:id="70"/>
      <w:bookmarkEnd w:id="71"/>
      <w:bookmarkEnd w:id="72"/>
      <w:bookmarkEnd w:id="73"/>
      <w:bookmarkEnd w:id="74"/>
    </w:p>
    <w:p>
      <w:pPr>
        <w:ind w:firstLine="640" w:firstLineChars="200"/>
        <w:rPr>
          <w:rFonts w:ascii="Times New Roman" w:hAnsi="Times New Roman" w:cs="Times New Roman"/>
          <w:szCs w:val="32"/>
        </w:rPr>
      </w:pPr>
      <w:r>
        <w:rPr>
          <w:rFonts w:ascii="Times New Roman" w:hAnsi="Times New Roman" w:eastAsia="仿宋_GB2312" w:cs="Times New Roman"/>
          <w:sz w:val="32"/>
          <w:szCs w:val="32"/>
        </w:rPr>
        <w:t>充分发挥市场在资源配置中的决定性作用，构建覆盖市场主体全生命周期的服务体系。无差别全面实施市场准入负面清单制度。加快消除各类显性或者隐性门槛，保障各类企业合法权益和公平待遇。全面落实“暖企35条”，继续落实减税降费、“助保贷”“云税贷”等各项惠企政策，降低企业用电、用气、用水、物流、融资等成本。加快开办企业流程再造。加强企业开办全流程“一站式”综合受理，推动开办企业“一表申请、一窗发放、一天办结、零费用”全面实现。推行审慎包容市场监管，实施容错机制清单化管理，与时俱进提高监管能力，防止资本无序扩张和垄断经营；发挥政府表率作用，</w:t>
      </w:r>
      <w:r>
        <w:rPr>
          <w:rFonts w:hint="eastAsia" w:ascii="仿宋_GB2312" w:hAnsi="仿宋_GB2312" w:eastAsia="仿宋_GB2312" w:cs="仿宋_GB2312"/>
          <w:sz w:val="32"/>
          <w:szCs w:val="32"/>
        </w:rPr>
        <w:t>加快推进政务诚信、商务诚信、社会诚信和司法公信建设</w:t>
      </w:r>
      <w:r>
        <w:rPr>
          <w:rFonts w:ascii="Times New Roman" w:hAnsi="Times New Roman" w:eastAsia="仿宋_GB2312" w:cs="Times New Roman"/>
          <w:sz w:val="32"/>
          <w:szCs w:val="32"/>
        </w:rPr>
        <w:t>。加强与咨询公司、会计师事务所、律师事务所、知识产权分析代理公司等专业机构合作，以专业化合作推动改革向纵深发展。</w:t>
      </w:r>
    </w:p>
    <w:p>
      <w:pPr>
        <w:pStyle w:val="4"/>
        <w:keepNext w:val="0"/>
        <w:keepLines w:val="0"/>
        <w:widowControl w:val="0"/>
        <w:spacing w:before="0" w:after="0" w:line="560" w:lineRule="exact"/>
        <w:ind w:left="420" w:leftChars="200" w:firstLine="160" w:firstLineChars="50"/>
        <w:jc w:val="both"/>
        <w:rPr>
          <w:rFonts w:ascii="Times New Roman" w:hAnsi="Times New Roman" w:eastAsia="黑体" w:cs="Times New Roman"/>
          <w:b w:val="0"/>
          <w:bCs w:val="0"/>
          <w:lang w:val="zh-CN"/>
        </w:rPr>
      </w:pPr>
      <w:bookmarkStart w:id="75" w:name="_Toc27749"/>
      <w:bookmarkStart w:id="76" w:name="_Toc54081345"/>
      <w:bookmarkStart w:id="77" w:name="_Toc55556041"/>
      <w:bookmarkStart w:id="78" w:name="_Toc52190692"/>
      <w:bookmarkStart w:id="79" w:name="_Toc53743532"/>
      <w:r>
        <w:rPr>
          <w:rFonts w:ascii="Times New Roman" w:hAnsi="Times New Roman" w:eastAsia="黑体" w:cs="Times New Roman"/>
          <w:b w:val="0"/>
          <w:bCs w:val="0"/>
          <w:lang w:val="zh-CN"/>
        </w:rPr>
        <w:t>三、打造依法办事的法治环境</w:t>
      </w:r>
      <w:bookmarkEnd w:id="75"/>
      <w:bookmarkEnd w:id="76"/>
      <w:bookmarkEnd w:id="77"/>
      <w:bookmarkEnd w:id="78"/>
      <w:bookmarkEnd w:id="79"/>
    </w:p>
    <w:p>
      <w:pPr>
        <w:pStyle w:val="9"/>
        <w:widowControl/>
        <w:spacing w:beforeAutospacing="0" w:afterAutospacing="0"/>
        <w:ind w:firstLine="640"/>
        <w:jc w:val="both"/>
        <w:rPr>
          <w:rFonts w:ascii="Times New Roman" w:hAnsi="Times New Roman" w:cs="Times New Roman"/>
          <w:sz w:val="32"/>
          <w:szCs w:val="32"/>
        </w:rPr>
      </w:pPr>
      <w:r>
        <w:rPr>
          <w:rFonts w:ascii="Times New Roman" w:hAnsi="Times New Roman" w:cs="Times New Roman"/>
          <w:sz w:val="32"/>
          <w:szCs w:val="32"/>
        </w:rPr>
        <w:t>推动“找关系”向“讲法治”转变，依法平等保护产权和合法权益，</w:t>
      </w:r>
      <w:r>
        <w:rPr>
          <w:rFonts w:hint="eastAsia" w:ascii="Times New Roman" w:hAnsi="Times New Roman" w:cs="Times New Roman"/>
          <w:sz w:val="32"/>
          <w:szCs w:val="32"/>
        </w:rPr>
        <w:t>坚决</w:t>
      </w:r>
      <w:r>
        <w:rPr>
          <w:rFonts w:ascii="Times New Roman" w:hAnsi="Times New Roman" w:cs="Times New Roman"/>
          <w:sz w:val="32"/>
          <w:szCs w:val="32"/>
        </w:rPr>
        <w:t>做到法无授权不可为、法定职责必须为，坚决切断利益驱动式执法源头；精准把握执法司法力度和温度，最大限度减少执法司法活动对企业正常生产经营的影响。运用法治思维和法治方式，抓好地方性法规、规章和规范性文件立改废释工作。加快建立政务诚信监督体系，健全“政府承诺+社会监督+失信问责”机制，定期对各部门政务诚信整体状况进行考察与监督。加快监管方式创新，</w:t>
      </w:r>
      <w:r>
        <w:rPr>
          <w:rFonts w:hint="eastAsia" w:ascii="仿宋_GB2312" w:hAnsi="仿宋_GB2312" w:cs="仿宋_GB2312"/>
          <w:sz w:val="32"/>
          <w:szCs w:val="32"/>
        </w:rPr>
        <w:t>构建以信用为基础的新型监管方式，</w:t>
      </w:r>
      <w:r>
        <w:rPr>
          <w:rFonts w:ascii="Times New Roman" w:hAnsi="Times New Roman" w:cs="Times New Roman"/>
          <w:sz w:val="32"/>
          <w:szCs w:val="32"/>
        </w:rPr>
        <w:t>推进“互联网+监管”和“双随机一公开”执法工作机制，提升监管规范化、精准化、智能化水平。加快发明专利、地理标志产品培育申报，加大知识产权保护力度，加快知识产权调解机构、维权援助机构、快速维权中心建设。建立健全政企沟通机制和营商环境投诉维权机制，充分运用“12345”服务热线、“好差评”系统、非公有制企业投诉服务平台，畅通市场主体诉求和权益保护的反映渠道。</w:t>
      </w:r>
      <w:bookmarkEnd w:id="61"/>
      <w:bookmarkEnd w:id="62"/>
      <w:bookmarkEnd w:id="63"/>
      <w:bookmarkEnd w:id="64"/>
    </w:p>
    <w:p>
      <w:pPr>
        <w:pStyle w:val="4"/>
        <w:keepNext w:val="0"/>
        <w:keepLines w:val="0"/>
        <w:widowControl w:val="0"/>
        <w:spacing w:before="0" w:after="0" w:line="560" w:lineRule="exact"/>
        <w:ind w:left="420" w:leftChars="200" w:firstLine="160" w:firstLineChars="50"/>
        <w:jc w:val="both"/>
        <w:rPr>
          <w:rFonts w:ascii="Times New Roman" w:hAnsi="Times New Roman" w:eastAsia="黑体" w:cs="Times New Roman"/>
          <w:b w:val="0"/>
          <w:bCs w:val="0"/>
          <w:lang w:val="zh-CN"/>
        </w:rPr>
      </w:pPr>
      <w:r>
        <w:rPr>
          <w:rFonts w:ascii="Times New Roman" w:hAnsi="Times New Roman" w:eastAsia="黑体" w:cs="Times New Roman"/>
          <w:b w:val="0"/>
          <w:bCs w:val="0"/>
          <w:lang w:val="zh-CN"/>
        </w:rPr>
        <w:t>四、打造宽松和谐的创新环境</w:t>
      </w:r>
    </w:p>
    <w:p>
      <w:pPr>
        <w:widowControl w:val="0"/>
        <w:spacing w:line="560" w:lineRule="exact"/>
        <w:ind w:firstLine="640"/>
        <w:jc w:val="both"/>
        <w:rPr>
          <w:rFonts w:ascii="Times New Roman" w:hAnsi="Times New Roman" w:eastAsia="楷体_GB2312" w:cs="Times New Roman"/>
        </w:rPr>
      </w:pPr>
      <w:bookmarkStart w:id="80" w:name="_Toc9961"/>
      <w:bookmarkStart w:id="81" w:name="_Toc54081241"/>
      <w:bookmarkStart w:id="82" w:name="_Toc55555937"/>
      <w:bookmarkStart w:id="83" w:name="_Toc53743428"/>
      <w:r>
        <w:rPr>
          <w:rFonts w:ascii="Times New Roman" w:hAnsi="Times New Roman" w:eastAsia="仿宋_GB2312" w:cs="Times New Roman"/>
          <w:sz w:val="32"/>
          <w:szCs w:val="32"/>
        </w:rPr>
        <w:t>按照国家改革行政审批、行政许可的要求，简化住所登记手续，采取一站式窗口、网上申报、多证联办等措施，为创业企业工商注册提供便利，降低创新创业门槛。完善创新激励政策，每两年表彰奖励一批创新企业、创新平台、创新人才和团队，努力营造崇尚创新、支持创新、参与创新的浓厚氛围。培育城市创新文化，弘扬勇于创业的社会价值取向，加强科学普及工作，提高全民科学文化素质，提升全民创新意识。支持举办创业训练营、创业沙龙、创业创新大赛等活动，培育创新文化，营造社会创新创业氛围。</w:t>
      </w:r>
    </w:p>
    <w:bookmarkEnd w:id="80"/>
    <w:bookmarkEnd w:id="81"/>
    <w:bookmarkEnd w:id="82"/>
    <w:bookmarkEnd w:id="83"/>
    <w:p>
      <w:pPr>
        <w:pStyle w:val="4"/>
        <w:keepNext w:val="0"/>
        <w:keepLines w:val="0"/>
        <w:widowControl w:val="0"/>
        <w:spacing w:before="0" w:after="0" w:line="560" w:lineRule="exact"/>
        <w:ind w:left="420" w:leftChars="200" w:firstLine="160" w:firstLineChars="50"/>
        <w:jc w:val="both"/>
        <w:rPr>
          <w:rFonts w:ascii="Times New Roman" w:hAnsi="Times New Roman" w:eastAsia="黑体" w:cs="Times New Roman"/>
          <w:b w:val="0"/>
          <w:bCs w:val="0"/>
          <w:lang w:val="zh-CN"/>
        </w:rPr>
      </w:pPr>
      <w:r>
        <w:rPr>
          <w:rFonts w:ascii="Times New Roman" w:hAnsi="Times New Roman" w:eastAsia="黑体" w:cs="Times New Roman"/>
          <w:b w:val="0"/>
          <w:bCs w:val="0"/>
          <w:lang w:val="zh-CN"/>
        </w:rPr>
        <w:t>五、打造循环畅通的开放环境</w:t>
      </w:r>
    </w:p>
    <w:p>
      <w:pPr>
        <w:widowControl w:val="0"/>
        <w:spacing w:line="560" w:lineRule="exact"/>
        <w:ind w:firstLine="640" w:firstLineChars="200"/>
        <w:jc w:val="both"/>
        <w:rPr>
          <w:rFonts w:ascii="Times New Roman" w:hAnsi="Times New Roman" w:eastAsia="仿宋_GB2312" w:cs="Times New Roman"/>
          <w:sz w:val="32"/>
          <w:szCs w:val="32"/>
        </w:rPr>
        <w:sectPr>
          <w:pgSz w:w="11906" w:h="16838"/>
          <w:pgMar w:top="2098" w:right="1531" w:bottom="1985" w:left="1531" w:header="851" w:footer="992" w:gutter="0"/>
          <w:cols w:space="720" w:num="1"/>
          <w:docGrid w:type="linesAndChars" w:linePitch="312" w:charSpace="0"/>
        </w:sectPr>
      </w:pPr>
      <w:r>
        <w:rPr>
          <w:rFonts w:ascii="Times New Roman" w:hAnsi="Times New Roman" w:eastAsia="仿宋_GB2312" w:cs="Times New Roman"/>
          <w:sz w:val="32"/>
          <w:szCs w:val="32"/>
        </w:rPr>
        <w:t>对标世行标准和国际惯例，借鉴外地好做法好经验，逐项找差距、抓改进；加快推进制度型开放，认真贯彻《外商投资法》，加强与国际通行经贸规则对接，健全外商投资促进和服务保护体系；推进大市场、大平台、大通关建设，打造航空“双枢纽、多支线”，引进培育外贸头部企业，持续提升贸易功能、口岸功能、服务功能。在工业园区设立外贸综合服务中心，为外贸企业打通出口通道，提供外贸代理服务、通关服务和物流服务。</w:t>
      </w:r>
    </w:p>
    <w:p>
      <w:pPr>
        <w:widowControl w:val="0"/>
        <w:spacing w:before="240" w:after="60" w:line="560" w:lineRule="exact"/>
        <w:jc w:val="center"/>
        <w:outlineLvl w:val="0"/>
        <w:rPr>
          <w:rFonts w:ascii="Times New Roman" w:hAnsi="Times New Roman" w:eastAsia="黑体" w:cs="Times New Roman"/>
          <w:spacing w:val="-10"/>
          <w:kern w:val="32"/>
          <w:sz w:val="32"/>
          <w:szCs w:val="32"/>
        </w:rPr>
      </w:pPr>
      <w:bookmarkStart w:id="84" w:name="_Toc51498823"/>
      <w:bookmarkStart w:id="85" w:name="_Toc24418"/>
      <w:bookmarkStart w:id="86" w:name="_Toc47971151"/>
      <w:r>
        <w:rPr>
          <w:rFonts w:ascii="Times New Roman" w:hAnsi="Times New Roman" w:eastAsia="黑体" w:cs="Times New Roman"/>
          <w:spacing w:val="-10"/>
          <w:kern w:val="32"/>
          <w:sz w:val="32"/>
          <w:szCs w:val="32"/>
        </w:rPr>
        <w:t>第五章</w:t>
      </w:r>
      <w:bookmarkEnd w:id="84"/>
      <w:r>
        <w:rPr>
          <w:rFonts w:ascii="Times New Roman" w:hAnsi="Times New Roman" w:eastAsia="黑体" w:cs="Times New Roman"/>
          <w:spacing w:val="-10"/>
          <w:kern w:val="32"/>
          <w:sz w:val="32"/>
          <w:szCs w:val="32"/>
        </w:rPr>
        <w:t xml:space="preserve">  建设“</w:t>
      </w:r>
      <w:bookmarkStart w:id="87" w:name="_Hlk60653459"/>
      <w:r>
        <w:rPr>
          <w:rFonts w:ascii="Times New Roman" w:hAnsi="Times New Roman" w:eastAsia="黑体" w:cs="Times New Roman"/>
          <w:spacing w:val="-10"/>
          <w:kern w:val="32"/>
          <w:sz w:val="32"/>
          <w:szCs w:val="32"/>
        </w:rPr>
        <w:t>省级高新技术产业园区</w:t>
      </w:r>
      <w:bookmarkEnd w:id="87"/>
      <w:r>
        <w:rPr>
          <w:rFonts w:ascii="Times New Roman" w:hAnsi="Times New Roman" w:eastAsia="黑体" w:cs="Times New Roman"/>
          <w:spacing w:val="-10"/>
          <w:kern w:val="32"/>
          <w:sz w:val="32"/>
          <w:szCs w:val="32"/>
        </w:rPr>
        <w:t>” 打造</w:t>
      </w:r>
      <w:bookmarkStart w:id="88" w:name="_Hlk60653466"/>
      <w:r>
        <w:rPr>
          <w:rFonts w:ascii="Times New Roman" w:hAnsi="Times New Roman" w:eastAsia="黑体" w:cs="Times New Roman"/>
          <w:spacing w:val="-10"/>
          <w:kern w:val="32"/>
          <w:sz w:val="32"/>
          <w:szCs w:val="32"/>
        </w:rPr>
        <w:t>特钢名城</w:t>
      </w:r>
      <w:bookmarkEnd w:id="88"/>
      <w:r>
        <w:rPr>
          <w:rFonts w:ascii="Times New Roman" w:hAnsi="Times New Roman" w:eastAsia="黑体" w:cs="Times New Roman"/>
          <w:spacing w:val="-10"/>
          <w:kern w:val="32"/>
          <w:sz w:val="32"/>
          <w:szCs w:val="32"/>
        </w:rPr>
        <w:t>西塞山</w:t>
      </w:r>
      <w:bookmarkEnd w:id="85"/>
    </w:p>
    <w:p>
      <w:pPr>
        <w:widowControl w:val="0"/>
        <w:spacing w:line="56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围绕黄石“先进制造之城”目标，以建设“省级高新技术产业园区”为抓手，打造特钢名城西塞山。坚持产业强区发展思路，以提高经济发展质效为核心，推动特钢产业、智能装备产业、生物医药产业高质量发展。</w:t>
      </w:r>
    </w:p>
    <w:p>
      <w:pPr>
        <w:widowControl w:val="0"/>
        <w:spacing w:before="240" w:after="60" w:line="560" w:lineRule="exact"/>
        <w:jc w:val="center"/>
        <w:outlineLvl w:val="1"/>
        <w:rPr>
          <w:rFonts w:ascii="Times New Roman" w:hAnsi="Times New Roman" w:eastAsia="楷体_GB2312" w:cs="Times New Roman"/>
          <w:b/>
          <w:bCs/>
          <w:sz w:val="32"/>
          <w:szCs w:val="32"/>
        </w:rPr>
      </w:pPr>
      <w:bookmarkStart w:id="89" w:name="_Toc23537"/>
      <w:r>
        <w:rPr>
          <w:rFonts w:ascii="Times New Roman" w:hAnsi="Times New Roman" w:eastAsia="楷体_GB2312" w:cs="Times New Roman"/>
          <w:b/>
          <w:bCs/>
          <w:sz w:val="32"/>
          <w:szCs w:val="32"/>
        </w:rPr>
        <w:t>第一节  全力构建特钢产业生态系统</w:t>
      </w:r>
      <w:bookmarkEnd w:id="89"/>
    </w:p>
    <w:p>
      <w:pPr>
        <w:widowControl w:val="0"/>
        <w:spacing w:line="56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充分发挥西塞山区特钢产业、龙头企业、区位条件等优势，构建现代化特钢产业体系，加强特钢产业科技创新体系和服务体系建设，做精做强特钢产业，打造全国最具竞争力影响力的特钢产业基地。</w:t>
      </w:r>
    </w:p>
    <w:p>
      <w:pPr>
        <w:pStyle w:val="4"/>
        <w:keepNext w:val="0"/>
        <w:keepLines w:val="0"/>
        <w:widowControl w:val="0"/>
        <w:spacing w:before="0" w:after="0" w:line="560" w:lineRule="exact"/>
        <w:ind w:left="420" w:leftChars="200" w:firstLine="160" w:firstLineChars="50"/>
        <w:jc w:val="both"/>
        <w:rPr>
          <w:rFonts w:ascii="Times New Roman" w:hAnsi="Times New Roman" w:eastAsia="黑体" w:cs="Times New Roman"/>
          <w:b w:val="0"/>
          <w:bCs w:val="0"/>
          <w:lang w:val="zh-CN"/>
        </w:rPr>
      </w:pPr>
      <w:r>
        <w:rPr>
          <w:rFonts w:ascii="Times New Roman" w:hAnsi="Times New Roman" w:eastAsia="黑体" w:cs="Times New Roman"/>
          <w:b w:val="0"/>
          <w:bCs w:val="0"/>
          <w:lang w:val="zh-CN"/>
        </w:rPr>
        <w:t>一、</w:t>
      </w:r>
      <w:bookmarkStart w:id="90" w:name="_Hlk60750084"/>
      <w:r>
        <w:rPr>
          <w:rFonts w:ascii="Times New Roman" w:hAnsi="Times New Roman" w:eastAsia="黑体" w:cs="Times New Roman"/>
          <w:b w:val="0"/>
          <w:bCs w:val="0"/>
          <w:lang w:val="zh-CN"/>
        </w:rPr>
        <w:t>构建现代化特钢产业体系</w:t>
      </w:r>
      <w:bookmarkEnd w:id="90"/>
    </w:p>
    <w:p>
      <w:pPr>
        <w:pStyle w:val="13"/>
        <w:autoSpaceDN w:val="0"/>
        <w:spacing w:line="560" w:lineRule="exact"/>
        <w:ind w:firstLine="643"/>
        <w:rPr>
          <w:rFonts w:eastAsia="仿宋_GB2312"/>
          <w:kern w:val="0"/>
          <w:sz w:val="32"/>
          <w:szCs w:val="32"/>
        </w:rPr>
      </w:pPr>
      <w:r>
        <w:rPr>
          <w:rFonts w:eastAsia="仿宋_GB2312"/>
          <w:b/>
          <w:bCs/>
          <w:kern w:val="0"/>
          <w:sz w:val="32"/>
          <w:szCs w:val="32"/>
        </w:rPr>
        <w:t>开展产品结构优化与升级。</w:t>
      </w:r>
      <w:r>
        <w:rPr>
          <w:rFonts w:eastAsia="仿宋_GB2312"/>
          <w:kern w:val="0"/>
          <w:sz w:val="32"/>
          <w:szCs w:val="32"/>
        </w:rPr>
        <w:t>重点开发高端产品解决卡脖子材料问题。依托新冶钢等龙头企业，通过“强链”、“补链”，构筑联动发展的新材料特色产业集群。围绕汽车、智能制造装备等领域对高端特钢产品的需求，大力开发高纯净度、高精度、高性能、高表面质量要求的各类高精尖产品，争取在高强度汽车钢板、高强度机械用钢、特殊不锈钢、超超临界锅炉用无缝钢管和火电机组用无缝钢管等项目开发上有新突破，占领高档产品市场。围绕模具新材料、前沿新材料产业链缺失环节和关键环节，实施定向招商，加大合金材料、生物材料等领域的引进力度。</w:t>
      </w:r>
    </w:p>
    <w:p>
      <w:pPr>
        <w:pStyle w:val="13"/>
        <w:autoSpaceDN w:val="0"/>
        <w:spacing w:line="560" w:lineRule="exact"/>
        <w:ind w:firstLine="643"/>
        <w:rPr>
          <w:rFonts w:eastAsia="仿宋_GB2312"/>
          <w:kern w:val="0"/>
          <w:sz w:val="32"/>
          <w:szCs w:val="32"/>
        </w:rPr>
      </w:pPr>
      <w:r>
        <w:rPr>
          <w:rFonts w:eastAsia="仿宋_GB2312"/>
          <w:b/>
          <w:bCs/>
          <w:kern w:val="0"/>
          <w:sz w:val="32"/>
          <w:szCs w:val="32"/>
        </w:rPr>
        <w:t>大力延伸特钢产业链。</w:t>
      </w:r>
      <w:r>
        <w:rPr>
          <w:rFonts w:eastAsia="仿宋_GB2312"/>
          <w:kern w:val="0"/>
          <w:sz w:val="32"/>
          <w:szCs w:val="32"/>
        </w:rPr>
        <w:t>做好补链工程，引导黄石市特钢精深加工企业延伸产业链，围绕产业链上游开展高合金特种钢材等技术研发，围绕产业链下游发展特种装备零部件等终端产品，提升产品竞争力和附加值。围绕模具钢产业建设加工配送、模具加工、模架制造等延伸项目，满足周边和华东、华南市场需求。</w:t>
      </w:r>
    </w:p>
    <w:p>
      <w:pPr>
        <w:pStyle w:val="13"/>
        <w:autoSpaceDN w:val="0"/>
        <w:spacing w:line="560" w:lineRule="exact"/>
        <w:ind w:firstLine="643"/>
        <w:rPr>
          <w:rFonts w:eastAsia="仿宋_GB2312"/>
          <w:kern w:val="0"/>
          <w:sz w:val="32"/>
          <w:szCs w:val="32"/>
        </w:rPr>
      </w:pPr>
      <w:r>
        <w:rPr>
          <w:rFonts w:eastAsia="仿宋_GB2312"/>
          <w:b/>
          <w:bCs/>
          <w:kern w:val="0"/>
          <w:sz w:val="32"/>
          <w:szCs w:val="32"/>
        </w:rPr>
        <w:t>挖掘特钢配套产业价值链。</w:t>
      </w:r>
      <w:r>
        <w:rPr>
          <w:rFonts w:eastAsia="仿宋_GB2312"/>
          <w:kern w:val="0"/>
          <w:sz w:val="32"/>
          <w:szCs w:val="32"/>
        </w:rPr>
        <w:t>借助综合立体运输体系的交通区位优势，发挥临港产业园区的聚集辐射带动作用，为模具钢生产企业采购原料提供集公路、铁路、水路于一体的多式联运服务；为模具钢加工企业至下游直供用户销售产品提供集公路、铁路、水路于一体的多式联运服务；为模具钢加工企业至分销客户销售产品提供短驳、仓储、展示、交易、金融、多式联运等服务；为模具钢加工企业出口销售产品提供多式联运、通关等服务；为货运汽车提供保险、维护维修、燃油供应等服务；为参与物流商贸活动的各类群体提供餐饮、住宿等综合服务。</w:t>
      </w:r>
    </w:p>
    <w:p>
      <w:pPr>
        <w:pStyle w:val="4"/>
        <w:keepNext w:val="0"/>
        <w:keepLines w:val="0"/>
        <w:widowControl w:val="0"/>
        <w:spacing w:before="0" w:after="0" w:line="560" w:lineRule="exact"/>
        <w:ind w:left="420" w:leftChars="200" w:firstLine="160" w:firstLineChars="50"/>
        <w:jc w:val="both"/>
        <w:rPr>
          <w:rFonts w:ascii="Times New Roman" w:hAnsi="Times New Roman" w:eastAsia="黑体" w:cs="Times New Roman"/>
          <w:b w:val="0"/>
          <w:bCs w:val="0"/>
          <w:lang w:val="zh-CN"/>
        </w:rPr>
      </w:pPr>
      <w:bookmarkStart w:id="91" w:name="_Toc26254"/>
      <w:bookmarkStart w:id="92" w:name="_Toc55555943"/>
      <w:bookmarkStart w:id="93" w:name="_Toc54081247"/>
      <w:bookmarkStart w:id="94" w:name="_Toc53743434"/>
      <w:r>
        <w:rPr>
          <w:rFonts w:ascii="Times New Roman" w:hAnsi="Times New Roman" w:eastAsia="黑体" w:cs="Times New Roman"/>
          <w:b w:val="0"/>
          <w:bCs w:val="0"/>
          <w:lang w:val="zh-CN"/>
        </w:rPr>
        <w:t>二、</w:t>
      </w:r>
      <w:bookmarkEnd w:id="91"/>
      <w:bookmarkEnd w:id="92"/>
      <w:bookmarkEnd w:id="93"/>
      <w:bookmarkEnd w:id="94"/>
      <w:r>
        <w:rPr>
          <w:rFonts w:ascii="Times New Roman" w:hAnsi="Times New Roman" w:eastAsia="黑体" w:cs="Times New Roman"/>
          <w:b w:val="0"/>
          <w:bCs w:val="0"/>
          <w:lang w:val="zh-CN"/>
        </w:rPr>
        <w:t>加强特钢产业科技创新体系和服务体系建设</w:t>
      </w:r>
    </w:p>
    <w:p>
      <w:pPr>
        <w:widowControl w:val="0"/>
        <w:spacing w:line="56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强化特钢新材料产业产学研合作。</w:t>
      </w:r>
      <w:r>
        <w:rPr>
          <w:rFonts w:ascii="Times New Roman" w:hAnsi="Times New Roman" w:eastAsia="仿宋_GB2312" w:cs="Times New Roman"/>
          <w:sz w:val="32"/>
          <w:szCs w:val="32"/>
        </w:rPr>
        <w:t>依托黄石科创模具技术研究院，加强新材料基础研究、应用研究和产业化的统筹衔接，完善创新链条的薄弱环节，形成上中下游协同创新的产业创新链条。面向新材料创新发展的重大需求，鼓励本地企业与华中科技大学、武汉科技大学、湖北理工学院等高校院所联合建立新材料产业技术创新战略联盟，开展产品应用开发和先进工艺推广应用。引导区内新材料企业加大研发投入，鼓励企业与高校院所共同开展共性关键技术攻关，联合承担国家、省、市科技专项，推动关键技术研发及产业化。</w:t>
      </w:r>
    </w:p>
    <w:p>
      <w:pPr>
        <w:widowControl w:val="0"/>
        <w:spacing w:line="56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探索建立西塞山区特钢产业专利池</w:t>
      </w:r>
      <w:r>
        <w:rPr>
          <w:rFonts w:ascii="Times New Roman" w:hAnsi="Times New Roman" w:eastAsia="仿宋_GB2312" w:cs="Times New Roman"/>
          <w:sz w:val="32"/>
          <w:szCs w:val="32"/>
        </w:rPr>
        <w:t>。依托必要专利评估形成专利池的模式，实现标准所涉及专利的一站式许可，打通科技成果转化类标准实施堵点。通过制定一批包含高价值专利的团体标准，全面提升专利的商业价值。</w:t>
      </w:r>
    </w:p>
    <w:p>
      <w:pPr>
        <w:widowControl w:val="0"/>
        <w:spacing w:line="56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加快特钢专业人才队伍建设。</w:t>
      </w:r>
      <w:r>
        <w:rPr>
          <w:rFonts w:ascii="Times New Roman" w:hAnsi="Times New Roman" w:eastAsia="仿宋_GB2312" w:cs="Times New Roman"/>
          <w:sz w:val="32"/>
          <w:szCs w:val="32"/>
        </w:rPr>
        <w:t>建设科研及标准化人才引进及培训中心，由黄石科创模具技术研究院负责日常管理，一方面为黄石科创模具技术研究院以及产业链上下游企业引进综合性人才搭建平台；另一方面，为企业现有职工提升业务能力和补齐标准化知识提供相关培训，为黄石建成“全国最具特色的模具钢新材料‘产学研用’一体化示范基地”培养多层次人才队伍。</w:t>
      </w:r>
    </w:p>
    <w:p>
      <w:pPr>
        <w:widowControl w:val="0"/>
        <w:spacing w:line="56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建立特钢行业标准体系。</w:t>
      </w:r>
      <w:r>
        <w:rPr>
          <w:rFonts w:ascii="Times New Roman" w:hAnsi="Times New Roman" w:eastAsia="仿宋_GB2312" w:cs="Times New Roman"/>
          <w:sz w:val="32"/>
          <w:szCs w:val="32"/>
        </w:rPr>
        <w:t>以深化标准化工作改革为契机，围绕标准化引领模具钢产业高质量发展的目标，统筹协调各方面力量共同开展模具钢产业标准化工作。充分发挥市场的标准化工作主体作用，更好发挥政府的引导作用，加快建设完善模具钢标准体系，提升标准质量水平，引领产业发展方向。通过提高标准的有效供给，支撑形成市场秩序有标可循、公共利益有标可保、创新驱动有标引领、转型升级有标支撑的良好标准化工作局面。建立支撑黄石模具钢产业高质量发展的技术标准体系，为产业政策提供技术依据和有力支撑。支持特钢相关产品和技术参与国家或行业标准的制定，加大对国际标准和国内外先进标准的引进、消化吸收和再创新。</w:t>
      </w:r>
    </w:p>
    <w:p>
      <w:pPr>
        <w:widowControl w:val="0"/>
        <w:spacing w:line="56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建设特钢公共检测服务体系。</w:t>
      </w:r>
      <w:r>
        <w:rPr>
          <w:rFonts w:ascii="Times New Roman" w:hAnsi="Times New Roman" w:eastAsia="仿宋_GB2312" w:cs="Times New Roman"/>
          <w:sz w:val="32"/>
          <w:szCs w:val="32"/>
        </w:rPr>
        <w:t>支持以黄石科创模具技术研究院检测验中心为依托，搭建区域领先、国内一流的特钢新材料分析测试公共服务平台，并发挥国家级特殊钢产品质量监督检验中心优势，为特钢新材料生产加工企业提供生产全流程检测分析服务，促进特钢新材料产业健康持续发展。为省内外特钢生产、模具制造、终端用户等提供相关技术、检测</w:t>
      </w:r>
      <w:r>
        <w:rPr>
          <w:rFonts w:hint="eastAsia" w:ascii="Times New Roman" w:hAnsi="Times New Roman" w:eastAsia="仿宋_GB2312" w:cs="Times New Roman"/>
          <w:sz w:val="32"/>
          <w:szCs w:val="32"/>
        </w:rPr>
        <w:t>相关</w:t>
      </w:r>
      <w:r>
        <w:rPr>
          <w:rFonts w:ascii="Times New Roman" w:hAnsi="Times New Roman" w:eastAsia="仿宋_GB2312" w:cs="Times New Roman"/>
          <w:sz w:val="32"/>
          <w:szCs w:val="32"/>
        </w:rPr>
        <w:t>服务，</w:t>
      </w:r>
      <w:r>
        <w:rPr>
          <w:rFonts w:hint="eastAsia" w:ascii="Times New Roman" w:hAnsi="Times New Roman" w:eastAsia="仿宋_GB2312" w:cs="Times New Roman"/>
          <w:sz w:val="32"/>
          <w:szCs w:val="32"/>
        </w:rPr>
        <w:t>力争</w:t>
      </w:r>
      <w:r>
        <w:rPr>
          <w:rFonts w:ascii="Times New Roman" w:hAnsi="Times New Roman" w:eastAsia="仿宋_GB2312" w:cs="Times New Roman"/>
          <w:sz w:val="32"/>
          <w:szCs w:val="32"/>
        </w:rPr>
        <w:t>将检测服务中心建设成国家级的模具钢公共检测平台。</w:t>
      </w:r>
    </w:p>
    <w:tbl>
      <w:tblPr>
        <w:tblStyle w:val="10"/>
        <w:tblW w:w="852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widowControl w:val="0"/>
              <w:spacing w:line="400" w:lineRule="exact"/>
              <w:jc w:val="center"/>
              <w:rPr>
                <w:rFonts w:ascii="Times New Roman" w:hAnsi="Times New Roman" w:eastAsia="仿宋_GB2312" w:cs="Times New Roman"/>
                <w:b/>
                <w:bCs/>
              </w:rPr>
            </w:pPr>
            <w:r>
              <w:rPr>
                <w:rFonts w:ascii="Times New Roman" w:hAnsi="Times New Roman" w:eastAsia="仿宋_GB2312" w:cs="Times New Roman"/>
                <w:b/>
                <w:bCs/>
              </w:rPr>
              <w:t>专栏5-1 特钢产业生态系统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pStyle w:val="14"/>
              <w:widowControl w:val="0"/>
              <w:spacing w:line="400" w:lineRule="exact"/>
              <w:ind w:firstLine="420" w:firstLineChars="200"/>
              <w:rPr>
                <w:rFonts w:ascii="Times New Roman" w:hAnsi="Times New Roman" w:eastAsia="仿宋_GB2312" w:cs="Times New Roman"/>
                <w:b/>
                <w:bCs/>
              </w:rPr>
            </w:pPr>
            <w:r>
              <w:rPr>
                <w:rFonts w:ascii="Times New Roman" w:hAnsi="Times New Roman" w:eastAsia="仿宋_GB2312" w:cs="Times New Roman"/>
                <w:b/>
                <w:bCs/>
              </w:rPr>
              <w:t>1.特钢产业</w:t>
            </w:r>
          </w:p>
          <w:p>
            <w:pPr>
              <w:pStyle w:val="14"/>
              <w:spacing w:line="400" w:lineRule="exact"/>
              <w:ind w:firstLine="420" w:firstLineChars="200"/>
              <w:rPr>
                <w:rFonts w:ascii="Times New Roman" w:hAnsi="Times New Roman" w:eastAsia="仿宋_GB2312" w:cs="Times New Roman"/>
              </w:rPr>
            </w:pPr>
            <w:r>
              <w:rPr>
                <w:rFonts w:ascii="Times New Roman" w:hAnsi="Times New Roman" w:eastAsia="仿宋_GB2312" w:cs="Times New Roman"/>
              </w:rPr>
              <w:t>特钢深加工产业园、CNC铝铸件生产、先进材料产业园、冶钢集团液压油缸线、材谷金带、鼎毅磁材、特色模具研发制造基地、特殊钢生产线、基准冲压模具及零部件、深圳银宝山新、新冶钢系列环保技改项目、特冶锻造产品升级改造项目（二期）。</w:t>
            </w:r>
          </w:p>
          <w:p>
            <w:pPr>
              <w:pStyle w:val="14"/>
              <w:widowControl w:val="0"/>
              <w:spacing w:line="400" w:lineRule="exact"/>
              <w:ind w:firstLine="420" w:firstLineChars="200"/>
              <w:rPr>
                <w:rFonts w:ascii="Times New Roman" w:hAnsi="Times New Roman" w:eastAsia="仿宋_GB2312" w:cs="Times New Roman"/>
                <w:b/>
                <w:bCs/>
              </w:rPr>
            </w:pPr>
            <w:r>
              <w:rPr>
                <w:rFonts w:ascii="Times New Roman" w:hAnsi="Times New Roman" w:eastAsia="仿宋_GB2312" w:cs="Times New Roman"/>
                <w:b/>
                <w:bCs/>
              </w:rPr>
              <w:t>2.特钢产业配套服务</w:t>
            </w:r>
          </w:p>
          <w:p>
            <w:pPr>
              <w:widowControl w:val="0"/>
              <w:spacing w:line="400" w:lineRule="exact"/>
              <w:ind w:firstLine="420" w:firstLineChars="200"/>
              <w:rPr>
                <w:rFonts w:ascii="Times New Roman" w:hAnsi="Times New Roman" w:eastAsia="仿宋_GB2312" w:cs="Times New Roman"/>
              </w:rPr>
            </w:pPr>
            <w:r>
              <w:rPr>
                <w:rFonts w:ascii="Times New Roman" w:hAnsi="Times New Roman" w:eastAsia="仿宋_GB2312" w:cs="Times New Roman"/>
              </w:rPr>
              <w:t>工业互联网产业技术研究院、人力资源产业园。</w:t>
            </w:r>
          </w:p>
        </w:tc>
      </w:tr>
    </w:tbl>
    <w:p>
      <w:pPr>
        <w:widowControl w:val="0"/>
        <w:spacing w:before="240" w:after="60" w:line="560" w:lineRule="exact"/>
        <w:jc w:val="center"/>
        <w:outlineLvl w:val="1"/>
        <w:rPr>
          <w:rFonts w:ascii="Times New Roman" w:hAnsi="Times New Roman" w:eastAsia="楷体_GB2312" w:cs="Times New Roman"/>
          <w:b/>
          <w:bCs/>
          <w:sz w:val="32"/>
          <w:szCs w:val="32"/>
        </w:rPr>
      </w:pPr>
      <w:bookmarkStart w:id="95" w:name="_Toc19180"/>
      <w:r>
        <w:rPr>
          <w:rFonts w:ascii="Times New Roman" w:hAnsi="Times New Roman" w:eastAsia="楷体_GB2312" w:cs="Times New Roman"/>
          <w:b/>
          <w:bCs/>
          <w:sz w:val="32"/>
          <w:szCs w:val="32"/>
        </w:rPr>
        <w:t>第二节  加快发展智能装备产业</w:t>
      </w:r>
      <w:bookmarkEnd w:id="95"/>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以绿色化、智能化、数字化为发展方向，重点发展智能制造、移动终端组件、汽车零部件、智能模具、轨道交通装备等高端装备制造业。突出招大引强，紧盯大公司、大企业，着力引进大项目，建设智能制造装备产业园，引导制造业转型升级。</w:t>
      </w:r>
    </w:p>
    <w:p>
      <w:pPr>
        <w:pStyle w:val="4"/>
        <w:keepNext w:val="0"/>
        <w:keepLines w:val="0"/>
        <w:widowControl w:val="0"/>
        <w:spacing w:before="0" w:after="0" w:line="560" w:lineRule="exact"/>
        <w:ind w:left="420" w:leftChars="200" w:firstLine="160" w:firstLineChars="50"/>
        <w:jc w:val="both"/>
        <w:rPr>
          <w:rFonts w:ascii="Times New Roman" w:hAnsi="Times New Roman" w:eastAsia="黑体" w:cs="Times New Roman"/>
          <w:b w:val="0"/>
          <w:bCs w:val="0"/>
          <w:lang w:val="zh-CN"/>
        </w:rPr>
      </w:pPr>
      <w:r>
        <w:rPr>
          <w:rFonts w:ascii="Times New Roman" w:hAnsi="Times New Roman" w:eastAsia="黑体" w:cs="Times New Roman"/>
          <w:b w:val="0"/>
          <w:bCs w:val="0"/>
          <w:lang w:val="zh-CN"/>
        </w:rPr>
        <w:t>一、加快智能制造装备改造和推广应用</w:t>
      </w:r>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全面推进新一轮技术改造升级，大力实施“机器换人、设备换芯、生产换线”智能化改造专项行动，做强优势产业。加快工业机器人、高端数控机床等智能制造装备在特钢新材料、汽车零部件、电子信息制造、生物医药等行业中的应用，培育智能制造新模式。对接园区企业转型升级和智能化改造需求，加速研发多功能工业机器人、模具加工数控机床等专用装备，鼓励本地化采购，对智能制造装备供需双方给予双向补贴，以示范应用推动园区智能制造装备产业发展。深入实施工业互联网强基工程，推进数字产业化和产业数字化，推动制造业数字赋能、数字转型。</w:t>
      </w:r>
    </w:p>
    <w:p>
      <w:pPr>
        <w:pStyle w:val="4"/>
        <w:keepNext w:val="0"/>
        <w:keepLines w:val="0"/>
        <w:widowControl w:val="0"/>
        <w:spacing w:before="0" w:after="0" w:line="560" w:lineRule="exact"/>
        <w:ind w:left="420" w:leftChars="200" w:firstLine="160" w:firstLineChars="50"/>
        <w:jc w:val="both"/>
        <w:rPr>
          <w:rFonts w:ascii="Times New Roman" w:hAnsi="Times New Roman" w:eastAsia="黑体" w:cs="Times New Roman"/>
          <w:b w:val="0"/>
          <w:bCs w:val="0"/>
          <w:lang w:val="zh-CN"/>
        </w:rPr>
      </w:pPr>
      <w:r>
        <w:rPr>
          <w:rFonts w:ascii="Times New Roman" w:hAnsi="Times New Roman" w:eastAsia="黑体" w:cs="Times New Roman"/>
          <w:b w:val="0"/>
          <w:bCs w:val="0"/>
          <w:lang w:val="zh-CN"/>
        </w:rPr>
        <w:t>二、加大智能制造装备产业招商力度</w:t>
      </w:r>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建立智能制造装备产业招商项目库，大力发展以</w:t>
      </w:r>
      <w:bookmarkStart w:id="96" w:name="_Hlk28980478"/>
      <w:r>
        <w:rPr>
          <w:rFonts w:ascii="Times New Roman" w:hAnsi="Times New Roman" w:eastAsia="仿宋_GB2312" w:cs="Times New Roman"/>
          <w:sz w:val="32"/>
          <w:szCs w:val="32"/>
        </w:rPr>
        <w:t>移动终端组件</w:t>
      </w:r>
      <w:bookmarkEnd w:id="96"/>
      <w:r>
        <w:rPr>
          <w:rFonts w:ascii="Times New Roman" w:hAnsi="Times New Roman" w:eastAsia="仿宋_GB2312" w:cs="Times New Roman"/>
          <w:sz w:val="32"/>
          <w:szCs w:val="32"/>
        </w:rPr>
        <w:t>、汽车零部件、工业机器人、数控机床、智能模具为重点的智能装备产业，以“大项目、大企业”作为突破口，吸引一批智能制造装备产业重点企业和项目落户园区。通过龙头企业的吸附带动作用，吸引上下游配套企业入驻园区，强化企业间的技术共享和市场合作，形成相互支持、协同配套的局面，打造联动发展的智能制造装备产业集群。支持绿创电子、浚山光电、名扬纪涵等电子信息企业发展壮大。加快推动材谷金带高新材料与高端装备制造产业园、超卓智能装备、智能制造模具园（二期）、5G电子信息产业园、汽车零部件深加工生产线等项目落地实施，建设创新型装备制造高地。</w:t>
      </w:r>
    </w:p>
    <w:p>
      <w:pPr>
        <w:pStyle w:val="4"/>
        <w:keepNext w:val="0"/>
        <w:keepLines w:val="0"/>
        <w:widowControl w:val="0"/>
        <w:spacing w:before="0" w:after="0" w:line="560" w:lineRule="exact"/>
        <w:ind w:left="420" w:leftChars="200" w:firstLine="160" w:firstLineChars="50"/>
        <w:jc w:val="both"/>
        <w:rPr>
          <w:rFonts w:ascii="Times New Roman" w:hAnsi="Times New Roman" w:eastAsia="黑体" w:cs="Times New Roman"/>
          <w:b w:val="0"/>
          <w:bCs w:val="0"/>
          <w:lang w:val="zh-CN"/>
        </w:rPr>
      </w:pPr>
      <w:r>
        <w:rPr>
          <w:rFonts w:ascii="Times New Roman" w:hAnsi="Times New Roman" w:eastAsia="黑体" w:cs="Times New Roman"/>
          <w:b w:val="0"/>
          <w:bCs w:val="0"/>
          <w:lang w:val="zh-CN"/>
        </w:rPr>
        <w:t>三、建设智能制造装备产业园</w:t>
      </w:r>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采取政府引导、市场化运作模式，配套建设满足智能制造装备企业需求的标准厂房和中试基地，加快建设集科技研发、创业孵化、生产制造等功能于一体的智能制造装备产业园。推进米郎德自动化项目建设，推动高档数控折弯机、智能服务机器人等生产线尽快落地投产。加大对智能制造装备产业发展的扶持力度，争取省市资金支持，为入园企业提供投融资服务、技术合作对接等一系列增值服务。</w:t>
      </w:r>
    </w:p>
    <w:tbl>
      <w:tblPr>
        <w:tblStyle w:val="10"/>
        <w:tblW w:w="852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widowControl w:val="0"/>
              <w:spacing w:line="400" w:lineRule="exact"/>
              <w:jc w:val="center"/>
              <w:rPr>
                <w:rFonts w:ascii="Times New Roman" w:hAnsi="Times New Roman" w:eastAsia="仿宋_GB2312" w:cs="Times New Roman"/>
                <w:b/>
                <w:bCs/>
              </w:rPr>
            </w:pPr>
            <w:r>
              <w:rPr>
                <w:rFonts w:ascii="Times New Roman" w:hAnsi="Times New Roman" w:eastAsia="仿宋_GB2312" w:cs="Times New Roman"/>
                <w:b/>
                <w:bCs/>
              </w:rPr>
              <w:t>专栏5-2 智能制造装备产业重点项目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8522" w:type="dxa"/>
            <w:noWrap w:val="0"/>
            <w:vAlign w:val="center"/>
          </w:tcPr>
          <w:p>
            <w:pPr>
              <w:pStyle w:val="14"/>
              <w:widowControl w:val="0"/>
              <w:spacing w:line="400" w:lineRule="exact"/>
              <w:ind w:firstLine="420" w:firstLineChars="200"/>
              <w:jc w:val="both"/>
              <w:rPr>
                <w:rFonts w:ascii="Times New Roman" w:hAnsi="Times New Roman" w:eastAsia="仿宋_GB2312" w:cs="Times New Roman"/>
              </w:rPr>
            </w:pPr>
            <w:r>
              <w:rPr>
                <w:rFonts w:ascii="Times New Roman" w:hAnsi="Times New Roman" w:eastAsia="仿宋_GB2312" w:cs="Times New Roman"/>
              </w:rPr>
              <w:t>锻压数控设备及数控模具项目、宏益精工科技板材及金属制品综合性加工基地、黄石科创模具技术研究院大型高端模具增材制造与再制造项目、智能制造科研中心、荣科智能、超卓装备制造、西塞山装备制造产业园。</w:t>
            </w:r>
          </w:p>
        </w:tc>
      </w:tr>
    </w:tbl>
    <w:p>
      <w:pPr>
        <w:widowControl w:val="0"/>
        <w:spacing w:before="100" w:beforeAutospacing="1" w:after="60" w:line="560" w:lineRule="exact"/>
        <w:jc w:val="center"/>
        <w:outlineLvl w:val="1"/>
        <w:rPr>
          <w:rFonts w:ascii="Times New Roman" w:hAnsi="Times New Roman" w:eastAsia="楷体_GB2312" w:cs="Times New Roman"/>
          <w:b/>
          <w:bCs/>
          <w:sz w:val="32"/>
          <w:szCs w:val="32"/>
        </w:rPr>
      </w:pPr>
      <w:bookmarkStart w:id="97" w:name="_Toc566"/>
      <w:r>
        <w:rPr>
          <w:rFonts w:ascii="Times New Roman" w:hAnsi="Times New Roman" w:eastAsia="楷体_GB2312" w:cs="Times New Roman"/>
          <w:b/>
          <w:bCs/>
          <w:sz w:val="32"/>
          <w:szCs w:val="32"/>
        </w:rPr>
        <w:t>第三节  做精做强生物医药产业</w:t>
      </w:r>
      <w:bookmarkEnd w:id="97"/>
    </w:p>
    <w:p>
      <w:pPr>
        <w:widowControl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依托园区医药领军企业，主动融入“健康中国”等国家战略，以延长产业链、扩大产业规模、推进产业高端化发展为手段，重点发展生物制药、化学药、医疗器械等领域。</w:t>
      </w:r>
    </w:p>
    <w:p>
      <w:pPr>
        <w:pStyle w:val="4"/>
        <w:keepNext w:val="0"/>
        <w:keepLines w:val="0"/>
        <w:widowControl w:val="0"/>
        <w:spacing w:before="0" w:after="0" w:line="580" w:lineRule="exact"/>
        <w:ind w:left="420" w:leftChars="200" w:firstLine="160" w:firstLineChars="50"/>
        <w:jc w:val="both"/>
        <w:rPr>
          <w:rFonts w:ascii="Times New Roman" w:hAnsi="Times New Roman" w:eastAsia="黑体" w:cs="Times New Roman"/>
          <w:b w:val="0"/>
          <w:bCs w:val="0"/>
          <w:lang w:val="zh-CN"/>
        </w:rPr>
      </w:pPr>
      <w:r>
        <w:rPr>
          <w:rFonts w:ascii="Times New Roman" w:hAnsi="Times New Roman" w:eastAsia="黑体" w:cs="Times New Roman"/>
          <w:b w:val="0"/>
          <w:bCs w:val="0"/>
          <w:lang w:val="zh-CN"/>
        </w:rPr>
        <w:t>一、加强与武汉国家生物产业基地资源链接</w:t>
      </w:r>
    </w:p>
    <w:p>
      <w:pPr>
        <w:widowControl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重点依托武汉光谷国家生物医药基地的辐射带动优势，发挥黄石生物医药产业的后发比较优势。与光谷生物城建立常态化联系，探索“研发在武汉、生产在西塞山”的模式。支持振华重点骨干企业“二次创业”，进一步更新设备、升级产品、扩大产能，大力引进高端医药中间体、生物工程、原料药、化学药制剂、中药材深加工等生物医药产业项目，努力实现关键技术和重要产品研制新突破。推动中小药企在生产配套、市场开拓、售后服务等方面加强协同，全面提升西塞山区生物医药产业的竞争力。</w:t>
      </w:r>
    </w:p>
    <w:p>
      <w:pPr>
        <w:pStyle w:val="4"/>
        <w:keepNext w:val="0"/>
        <w:keepLines w:val="0"/>
        <w:widowControl w:val="0"/>
        <w:spacing w:before="0" w:after="0" w:line="580" w:lineRule="exact"/>
        <w:ind w:left="420" w:leftChars="200" w:firstLine="160" w:firstLineChars="50"/>
        <w:jc w:val="both"/>
        <w:rPr>
          <w:rFonts w:ascii="Times New Roman" w:hAnsi="Times New Roman" w:eastAsia="黑体" w:cs="Times New Roman"/>
          <w:b w:val="0"/>
          <w:bCs w:val="0"/>
          <w:lang w:val="zh-CN"/>
        </w:rPr>
      </w:pPr>
      <w:r>
        <w:rPr>
          <w:rFonts w:ascii="Times New Roman" w:hAnsi="Times New Roman" w:eastAsia="黑体" w:cs="Times New Roman"/>
          <w:b w:val="0"/>
          <w:bCs w:val="0"/>
          <w:lang w:val="zh-CN"/>
        </w:rPr>
        <w:t>二、提升生物医药产业创新能力</w:t>
      </w:r>
    </w:p>
    <w:p>
      <w:pPr>
        <w:widowControl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鼓励现有企业加大研发投入、加强研发中心建设，通过研发补贴、税收优惠、成果奖励等方式，给予企业研发投入支持。推动园区企业与高校院所开展产学研合作，联合建设共性关键技术研发平台、生物医药检验检测平台等，重点围绕医药中间体、生物药、化学药等优势门类，加强关键工艺创新，提升原料药研发技术和深加工能力。支持振华创立国家级铬盐产业高新技术研发平台，加大研发投入，加强与高校和科研院所的产学研技术合作，引进高层次专业领军人才，为提升公司技术创新能力创造优良硬件条件。</w:t>
      </w:r>
    </w:p>
    <w:p>
      <w:pPr>
        <w:pStyle w:val="4"/>
        <w:keepNext w:val="0"/>
        <w:keepLines w:val="0"/>
        <w:widowControl w:val="0"/>
        <w:spacing w:before="0" w:after="0" w:line="580" w:lineRule="exact"/>
        <w:ind w:left="420" w:leftChars="200" w:firstLine="160" w:firstLineChars="50"/>
        <w:jc w:val="both"/>
        <w:rPr>
          <w:rFonts w:ascii="Times New Roman" w:hAnsi="Times New Roman" w:eastAsia="黑体" w:cs="Times New Roman"/>
          <w:b w:val="0"/>
          <w:bCs w:val="0"/>
          <w:lang w:val="zh-CN"/>
        </w:rPr>
      </w:pPr>
      <w:r>
        <w:rPr>
          <w:rFonts w:ascii="Times New Roman" w:hAnsi="Times New Roman" w:eastAsia="黑体" w:cs="Times New Roman"/>
          <w:b w:val="0"/>
          <w:bCs w:val="0"/>
          <w:lang w:val="zh-CN"/>
        </w:rPr>
        <w:t>三、开展绿色制造</w:t>
      </w:r>
    </w:p>
    <w:p>
      <w:pPr>
        <w:widowControl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对生产线各工序副产物进行全面资源综合利用，变废为宝，提高资源综合利用率，研发并推广下游产品序列至精细化工领域，形成新的经济增长点。进一步丰富完善循环经济运行模式，开展医药化工行业清洁生产、绿色发展新风尚。借鉴吸收最新节能减排工艺技术，对粉体焙烧回转窑工艺、设备进行智能升级改造，形成高能效窑炉系列。</w:t>
      </w:r>
    </w:p>
    <w:p>
      <w:pPr>
        <w:pStyle w:val="2"/>
        <w:ind w:left="480" w:firstLine="640"/>
        <w:rPr>
          <w:rFonts w:eastAsia="仿宋_GB2312"/>
          <w:sz w:val="32"/>
          <w:szCs w:val="32"/>
        </w:rPr>
      </w:pPr>
    </w:p>
    <w:p/>
    <w:tbl>
      <w:tblPr>
        <w:tblStyle w:val="10"/>
        <w:tblW w:w="852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22" w:type="dxa"/>
            <w:noWrap w:val="0"/>
            <w:vAlign w:val="center"/>
          </w:tcPr>
          <w:p>
            <w:pPr>
              <w:widowControl w:val="0"/>
              <w:spacing w:line="400" w:lineRule="exact"/>
              <w:jc w:val="center"/>
              <w:rPr>
                <w:rFonts w:ascii="Times New Roman" w:hAnsi="Times New Roman" w:eastAsia="仿宋_GB2312" w:cs="Times New Roman"/>
                <w:b/>
                <w:bCs/>
              </w:rPr>
            </w:pPr>
            <w:r>
              <w:rPr>
                <w:rFonts w:ascii="Times New Roman" w:hAnsi="Times New Roman" w:eastAsia="仿宋_GB2312" w:cs="Times New Roman"/>
                <w:b/>
                <w:bCs/>
              </w:rPr>
              <w:t>专栏5-3 生物医药产业发展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pStyle w:val="14"/>
              <w:widowControl w:val="0"/>
              <w:spacing w:line="400" w:lineRule="exact"/>
              <w:ind w:firstLine="420" w:firstLineChars="200"/>
              <w:rPr>
                <w:rFonts w:ascii="Times New Roman" w:hAnsi="Times New Roman" w:eastAsia="仿宋_GB2312" w:cs="Times New Roman"/>
                <w:b/>
                <w:bCs/>
              </w:rPr>
            </w:pPr>
            <w:r>
              <w:rPr>
                <w:rFonts w:ascii="Times New Roman" w:hAnsi="Times New Roman" w:eastAsia="仿宋_GB2312" w:cs="Times New Roman"/>
                <w:b/>
                <w:bCs/>
              </w:rPr>
              <w:t>1、加强与武汉国家生物产业基地的联系</w:t>
            </w:r>
          </w:p>
          <w:p>
            <w:pPr>
              <w:pStyle w:val="14"/>
              <w:widowControl w:val="0"/>
              <w:spacing w:line="400" w:lineRule="exact"/>
              <w:ind w:firstLine="420" w:firstLineChars="200"/>
              <w:rPr>
                <w:rFonts w:ascii="Times New Roman" w:hAnsi="Times New Roman" w:eastAsia="仿宋_GB2312" w:cs="Times New Roman"/>
              </w:rPr>
            </w:pPr>
            <w:r>
              <w:rPr>
                <w:rFonts w:ascii="Times New Roman" w:hAnsi="Times New Roman" w:eastAsia="仿宋_GB2312" w:cs="Times New Roman"/>
              </w:rPr>
              <w:t>以生物医药产业园建设为契机，加快建立信息共享与创新协同机制，嫁接武汉国家生物产业基地企业、技术和人才资源。充分发挥武汉国家生物产业基地“国字号”品牌效应和辐射带动作用，面向生物医药产业链下游，延长产业链链条，促进生物医药产业跨越发展。</w:t>
            </w:r>
          </w:p>
          <w:p>
            <w:pPr>
              <w:pStyle w:val="14"/>
              <w:widowControl w:val="0"/>
              <w:spacing w:line="400" w:lineRule="exact"/>
              <w:ind w:firstLine="420" w:firstLineChars="200"/>
              <w:rPr>
                <w:rFonts w:ascii="Times New Roman" w:hAnsi="Times New Roman" w:eastAsia="仿宋_GB2312" w:cs="Times New Roman"/>
                <w:b/>
                <w:bCs/>
              </w:rPr>
            </w:pPr>
            <w:r>
              <w:rPr>
                <w:rFonts w:ascii="Times New Roman" w:hAnsi="Times New Roman" w:eastAsia="仿宋_GB2312" w:cs="Times New Roman"/>
                <w:b/>
                <w:bCs/>
              </w:rPr>
              <w:t>2、强化与中国500强生物医药企业对接</w:t>
            </w:r>
          </w:p>
          <w:p>
            <w:pPr>
              <w:pStyle w:val="14"/>
              <w:widowControl w:val="0"/>
              <w:spacing w:line="400" w:lineRule="exact"/>
              <w:ind w:firstLine="420" w:firstLineChars="200"/>
              <w:rPr>
                <w:rFonts w:ascii="Times New Roman" w:hAnsi="Times New Roman" w:eastAsia="仿宋_GB2312" w:cs="Times New Roman"/>
              </w:rPr>
            </w:pPr>
            <w:r>
              <w:rPr>
                <w:rFonts w:ascii="Times New Roman" w:hAnsi="Times New Roman" w:eastAsia="仿宋_GB2312" w:cs="Times New Roman"/>
              </w:rPr>
              <w:t>与中国500强企业中的生物医药企业建立联系机制，积极与企业进行洽谈，促成企业到园区发展，到2025年，争取新落地5-10家全国500强中的生物医药企业项目。</w:t>
            </w:r>
          </w:p>
          <w:p>
            <w:pPr>
              <w:pStyle w:val="14"/>
              <w:widowControl w:val="0"/>
              <w:spacing w:line="400" w:lineRule="exact"/>
              <w:ind w:firstLine="420" w:firstLineChars="200"/>
              <w:rPr>
                <w:rFonts w:ascii="Times New Roman" w:hAnsi="Times New Roman" w:eastAsia="仿宋_GB2312" w:cs="Times New Roman"/>
                <w:b/>
                <w:bCs/>
              </w:rPr>
            </w:pPr>
            <w:r>
              <w:rPr>
                <w:rFonts w:ascii="Times New Roman" w:hAnsi="Times New Roman" w:eastAsia="仿宋_GB2312" w:cs="Times New Roman"/>
                <w:b/>
                <w:bCs/>
              </w:rPr>
              <w:t>3、重点项目</w:t>
            </w:r>
          </w:p>
          <w:p>
            <w:pPr>
              <w:pStyle w:val="14"/>
              <w:widowControl w:val="0"/>
              <w:spacing w:line="400" w:lineRule="exact"/>
              <w:ind w:firstLine="420" w:firstLineChars="200"/>
              <w:rPr>
                <w:rFonts w:ascii="Times New Roman" w:hAnsi="Times New Roman" w:eastAsia="仿宋_GB2312" w:cs="Times New Roman"/>
              </w:rPr>
            </w:pPr>
            <w:r>
              <w:rPr>
                <w:rFonts w:ascii="Times New Roman" w:hAnsi="Times New Roman" w:eastAsia="仿宋_GB2312" w:cs="Times New Roman"/>
              </w:rPr>
              <w:t>荣海大健康产业园、生物医药企业技改工程、法姆药业别嘌醇原料药及医药中间体项目、福尔泰医药原料药研究和生产中心。</w:t>
            </w:r>
          </w:p>
        </w:tc>
      </w:tr>
    </w:tbl>
    <w:p>
      <w:pPr>
        <w:widowControl w:val="0"/>
        <w:spacing w:before="100" w:beforeAutospacing="1" w:after="60" w:line="560" w:lineRule="exact"/>
        <w:jc w:val="center"/>
        <w:outlineLvl w:val="1"/>
        <w:rPr>
          <w:rFonts w:ascii="Times New Roman" w:hAnsi="Times New Roman" w:eastAsia="楷体_GB2312" w:cs="Times New Roman"/>
          <w:b/>
          <w:bCs/>
          <w:sz w:val="32"/>
          <w:szCs w:val="32"/>
        </w:rPr>
      </w:pPr>
      <w:bookmarkStart w:id="98" w:name="_Toc30998"/>
      <w:r>
        <w:rPr>
          <w:rFonts w:ascii="Times New Roman" w:hAnsi="Times New Roman" w:eastAsia="楷体_GB2312" w:cs="Times New Roman"/>
          <w:b/>
          <w:bCs/>
          <w:sz w:val="32"/>
          <w:szCs w:val="32"/>
        </w:rPr>
        <w:t>第四节  积极推动省级示范平台建设</w:t>
      </w:r>
      <w:bookmarkEnd w:id="98"/>
    </w:p>
    <w:p>
      <w:pPr>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聚焦制造业高质量发展，依托西塞山工业园区打造省级高新技术产业园区，</w:t>
      </w:r>
      <w:r>
        <w:rPr>
          <w:rFonts w:ascii="Times New Roman" w:hAnsi="Times New Roman" w:eastAsia="仿宋_GB2312" w:cs="Times New Roman"/>
          <w:bCs/>
          <w:sz w:val="32"/>
          <w:szCs w:val="32"/>
        </w:rPr>
        <w:t>不断培植产业新优势</w:t>
      </w:r>
      <w:r>
        <w:rPr>
          <w:rFonts w:ascii="Times New Roman" w:hAnsi="Times New Roman" w:eastAsia="仿宋_GB2312" w:cs="Times New Roman"/>
          <w:sz w:val="32"/>
          <w:szCs w:val="32"/>
        </w:rPr>
        <w:t>。发挥内陆市场优势，抢抓产能向内陆市场转移重大机遇，创建湖北省承接产业转移示范区，加快融入双循环新发展格局。</w:t>
      </w:r>
    </w:p>
    <w:p>
      <w:pPr>
        <w:pStyle w:val="4"/>
        <w:keepNext w:val="0"/>
        <w:keepLines w:val="0"/>
        <w:widowControl w:val="0"/>
        <w:spacing w:before="0" w:after="0" w:line="580" w:lineRule="exact"/>
        <w:ind w:left="420" w:leftChars="200" w:firstLine="160" w:firstLineChars="50"/>
        <w:jc w:val="both"/>
        <w:rPr>
          <w:rFonts w:ascii="Times New Roman" w:hAnsi="Times New Roman" w:eastAsia="黑体" w:cs="Times New Roman"/>
          <w:b w:val="0"/>
          <w:bCs w:val="0"/>
          <w:lang w:val="zh-CN"/>
        </w:rPr>
      </w:pPr>
      <w:r>
        <w:rPr>
          <w:rFonts w:ascii="Times New Roman" w:hAnsi="Times New Roman" w:eastAsia="黑体" w:cs="Times New Roman"/>
          <w:b w:val="0"/>
          <w:bCs w:val="0"/>
          <w:lang w:val="zh-CN"/>
        </w:rPr>
        <w:t>一、打造省级高新技术产业园区</w:t>
      </w:r>
    </w:p>
    <w:p>
      <w:pPr>
        <w:widowControl w:val="0"/>
        <w:spacing w:line="56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依托西塞山工业园区先进制造业集群发展优势，围绕推进产业基础高级化和产业链现代化，加快发展传统优势产业，培育发展新兴产业，着力打造科技创新平台，不断培植产业新优势。重点聚焦特钢主导产业，以特钢及延伸加工园、装备制造园、生物医药园为抓手，强化资源集聚、产业集中、机制创新，培育壮大创新主体，培养造就创新人才，推动更多科技成果转化为现实生产力，将西塞山工业园区打造为全省高新技术产业园区。</w:t>
      </w:r>
    </w:p>
    <w:p>
      <w:pPr>
        <w:pStyle w:val="4"/>
        <w:keepNext w:val="0"/>
        <w:keepLines w:val="0"/>
        <w:widowControl w:val="0"/>
        <w:spacing w:before="0" w:after="0" w:line="580" w:lineRule="exact"/>
        <w:ind w:left="420" w:leftChars="200" w:firstLine="160" w:firstLineChars="50"/>
        <w:jc w:val="both"/>
        <w:rPr>
          <w:rFonts w:ascii="Times New Roman" w:hAnsi="Times New Roman" w:eastAsia="黑体" w:cs="Times New Roman"/>
          <w:b w:val="0"/>
          <w:bCs w:val="0"/>
          <w:lang w:val="zh-CN"/>
        </w:rPr>
      </w:pPr>
      <w:r>
        <w:rPr>
          <w:rFonts w:ascii="Times New Roman" w:hAnsi="Times New Roman" w:eastAsia="黑体" w:cs="Times New Roman"/>
          <w:b w:val="0"/>
          <w:bCs w:val="0"/>
          <w:lang w:val="zh-CN"/>
        </w:rPr>
        <w:t>二、创建湖北省承接产业转移示范区</w:t>
      </w:r>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发挥特钢重点产业、新冶钢等骨干企业的带动作用，大力引进行业龙头企业和上下游高端产业项目，争取实现承接产业链条整体转移和关联产业协同转移，提升上下游企业配套能力，打造产业集中度高、企业关联度强、比较优势明显的特色产业集群，形成产业集聚发展的新格局。推进产业创新升级，深入实施“科技领航”计划，大力培育一批行业“隐形冠军”。搭建科技产业化服务平台，吸引高科技人才和高新技术项目集聚，促进科技成果转化和产业化。依托行业技术标准联盟引导企业强化标准引领和质量引领，推动“西塞制造”向“西塞智造”迈进。完善示范区基础设施及配套服务体系建设，探索创新示范区管理模式，建成省级承接产业转移示范区。</w:t>
      </w:r>
    </w:p>
    <w:p>
      <w:pPr>
        <w:widowControl w:val="0"/>
        <w:spacing w:before="240" w:after="60" w:line="560" w:lineRule="exact"/>
        <w:jc w:val="center"/>
        <w:outlineLvl w:val="0"/>
        <w:rPr>
          <w:rFonts w:ascii="Times New Roman" w:hAnsi="Times New Roman" w:eastAsia="黑体" w:cs="Times New Roman"/>
          <w:kern w:val="32"/>
          <w:sz w:val="32"/>
          <w:szCs w:val="32"/>
        </w:rPr>
      </w:pPr>
      <w:r>
        <w:rPr>
          <w:rFonts w:ascii="Times New Roman" w:hAnsi="Times New Roman" w:cs="Times New Roman"/>
        </w:rPr>
        <w:br w:type="page"/>
      </w:r>
      <w:bookmarkStart w:id="99" w:name="_Toc495"/>
      <w:r>
        <w:rPr>
          <w:rFonts w:ascii="Times New Roman" w:hAnsi="Times New Roman" w:eastAsia="黑体" w:cs="Times New Roman"/>
          <w:kern w:val="32"/>
          <w:sz w:val="32"/>
          <w:szCs w:val="32"/>
        </w:rPr>
        <w:t>第六章  建设“</w:t>
      </w:r>
      <w:bookmarkStart w:id="100" w:name="_Hlk60663442"/>
      <w:r>
        <w:rPr>
          <w:rFonts w:ascii="Times New Roman" w:hAnsi="Times New Roman" w:eastAsia="黑体" w:cs="Times New Roman"/>
          <w:kern w:val="32"/>
          <w:sz w:val="32"/>
          <w:szCs w:val="32"/>
        </w:rPr>
        <w:t>黄石临港产业园区</w:t>
      </w:r>
      <w:bookmarkEnd w:id="100"/>
      <w:r>
        <w:rPr>
          <w:rFonts w:ascii="Times New Roman" w:hAnsi="Times New Roman" w:eastAsia="黑体" w:cs="Times New Roman"/>
          <w:kern w:val="32"/>
          <w:sz w:val="32"/>
          <w:szCs w:val="32"/>
        </w:rPr>
        <w:t>” 打造</w:t>
      </w:r>
      <w:bookmarkStart w:id="101" w:name="_Hlk60663450"/>
      <w:r>
        <w:rPr>
          <w:rFonts w:ascii="Times New Roman" w:hAnsi="Times New Roman" w:eastAsia="黑体" w:cs="Times New Roman"/>
          <w:kern w:val="32"/>
          <w:sz w:val="32"/>
          <w:szCs w:val="32"/>
        </w:rPr>
        <w:t>临港总部西塞山</w:t>
      </w:r>
      <w:bookmarkEnd w:id="99"/>
      <w:bookmarkEnd w:id="101"/>
    </w:p>
    <w:p>
      <w:pPr>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围绕黄石“现代港口城市”目标，以建设“黄石临港产业园区”为抓手，打造临港总部西塞山。按照“一年规拆改，两年快起步，三年大变样，五年成新区”的奋斗目标，加快推进黄石临港产业园区建设，打造全市“N园”建设“领头雁”、转型发展增长极。</w:t>
      </w:r>
    </w:p>
    <w:p>
      <w:pPr>
        <w:widowControl w:val="0"/>
        <w:spacing w:before="240" w:after="60" w:line="560" w:lineRule="exact"/>
        <w:jc w:val="center"/>
        <w:outlineLvl w:val="1"/>
        <w:rPr>
          <w:rFonts w:ascii="Times New Roman" w:hAnsi="Times New Roman" w:eastAsia="楷体_GB2312" w:cs="Times New Roman"/>
          <w:b/>
          <w:bCs/>
          <w:sz w:val="32"/>
          <w:szCs w:val="32"/>
        </w:rPr>
      </w:pPr>
      <w:bookmarkStart w:id="102" w:name="_Toc5097"/>
      <w:r>
        <w:rPr>
          <w:rFonts w:ascii="Times New Roman" w:hAnsi="Times New Roman" w:eastAsia="楷体_GB2312" w:cs="Times New Roman"/>
          <w:b/>
          <w:bCs/>
          <w:sz w:val="32"/>
          <w:szCs w:val="32"/>
        </w:rPr>
        <w:t>第一节  加快临港产业园基础设施建设</w:t>
      </w:r>
      <w:bookmarkEnd w:id="102"/>
    </w:p>
    <w:p>
      <w:pPr>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强力推进园区提档升级，大幅改善园区面貌。加快产业园基础设施建设，完成河西大道、张志和大道提标改造，建成新区核心区“四纵四横”主干路网。加快河口、西塞还建楼建设，着力解决拆迁安置问题。加快黄石二中滨江校区、临港医院、文体活动中心、智慧政务等公共服务设施建设，完善供排水、供电、通讯、供气、供暖、污水和垃圾处理等配套功能，健全科创、信息、物流、公交等公共服务平台，拓展产业园发展空间，提升产业园承载能力。</w:t>
      </w:r>
    </w:p>
    <w:p>
      <w:pPr>
        <w:widowControl w:val="0"/>
        <w:spacing w:before="240" w:after="60" w:line="560" w:lineRule="exact"/>
        <w:jc w:val="center"/>
        <w:outlineLvl w:val="1"/>
        <w:rPr>
          <w:rFonts w:ascii="Times New Roman" w:hAnsi="Times New Roman" w:eastAsia="楷体_GB2312" w:cs="Times New Roman"/>
          <w:b/>
          <w:bCs/>
          <w:sz w:val="32"/>
          <w:szCs w:val="32"/>
        </w:rPr>
      </w:pPr>
      <w:bookmarkStart w:id="103" w:name="_Toc14743"/>
      <w:r>
        <w:rPr>
          <w:rFonts w:ascii="Times New Roman" w:hAnsi="Times New Roman" w:eastAsia="楷体_GB2312" w:cs="Times New Roman"/>
          <w:b/>
          <w:bCs/>
          <w:sz w:val="32"/>
          <w:szCs w:val="32"/>
        </w:rPr>
        <w:t>第二节  突出临港总部中心功能</w:t>
      </w:r>
      <w:bookmarkEnd w:id="103"/>
    </w:p>
    <w:p>
      <w:pPr>
        <w:spacing w:line="560" w:lineRule="exact"/>
        <w:ind w:firstLine="56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全要素、全链条、全地域谋划产业园功能布局，以打造规模化的智能仓储物流集群、加快发展高品质专业化物流、发展高附加值的农产品和医药冷链物流服务体系、完善应急物流体系建设、推动跨境物流发展提供检测维修等保障服务为重点，构建高效现代物流网络体系。</w:t>
      </w:r>
    </w:p>
    <w:p>
      <w:pPr>
        <w:pStyle w:val="4"/>
        <w:keepNext w:val="0"/>
        <w:keepLines w:val="0"/>
        <w:widowControl w:val="0"/>
        <w:spacing w:before="0" w:after="0" w:line="560" w:lineRule="exact"/>
        <w:ind w:firstLine="640" w:firstLineChars="200"/>
        <w:jc w:val="both"/>
        <w:rPr>
          <w:rFonts w:ascii="Times New Roman" w:hAnsi="Times New Roman" w:eastAsia="黑体" w:cs="Times New Roman"/>
          <w:b w:val="0"/>
          <w:bCs w:val="0"/>
          <w:lang w:val="zh-CN"/>
        </w:rPr>
      </w:pPr>
      <w:r>
        <w:rPr>
          <w:rFonts w:ascii="Times New Roman" w:hAnsi="Times New Roman" w:eastAsia="黑体" w:cs="Times New Roman"/>
          <w:b w:val="0"/>
          <w:bCs w:val="0"/>
          <w:lang w:val="zh-CN"/>
        </w:rPr>
        <w:t>一、</w:t>
      </w:r>
      <w:bookmarkStart w:id="104" w:name="_Hlk60742517"/>
      <w:r>
        <w:rPr>
          <w:rFonts w:ascii="Times New Roman" w:hAnsi="Times New Roman" w:eastAsia="黑体" w:cs="Times New Roman"/>
          <w:b w:val="0"/>
          <w:bCs w:val="0"/>
          <w:lang w:val="zh-CN"/>
        </w:rPr>
        <w:t>打造规模化的智能仓储物流集群</w:t>
      </w:r>
      <w:bookmarkEnd w:id="104"/>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依托京东“亚洲一号”、苏宁仓储、德国卡迪斯智能仓储、Rhenus等国际物流企业的仓储管理方案，对接物流行业领先的国际物流园区开发商和运营商，建设以面积大、净空高、设备自动化、物流流程智能化以及地面平整度高为特点的高标仓，打造以全面连接、数字转型、智能升级为特征的智慧物流园。</w:t>
      </w:r>
    </w:p>
    <w:p>
      <w:pPr>
        <w:widowControl w:val="0"/>
        <w:spacing w:line="560" w:lineRule="exact"/>
        <w:ind w:firstLine="640" w:firstLineChars="200"/>
        <w:jc w:val="both"/>
        <w:rPr>
          <w:rFonts w:ascii="Times New Roman" w:hAnsi="Times New Roman" w:cs="Times New Roman"/>
        </w:rPr>
      </w:pPr>
      <w:r>
        <w:rPr>
          <w:rFonts w:ascii="Times New Roman" w:hAnsi="Times New Roman" w:eastAsia="仿宋_GB2312" w:cs="Times New Roman"/>
          <w:sz w:val="32"/>
          <w:szCs w:val="32"/>
        </w:rPr>
        <w:t>大力建设自动化立体库、自动分拣系统、自动输送系统，引入拣选机器人、AGV等设备构建完整的智能仓储物流解决方案，实现园区运营可视化、可追溯和可预警，提高物流管控精度、高效度、透明度和智能化程度。重点发展钢材运输、大宗生产生活物资运输、转运、加工服务及集装箱多式联运等港口物流，形成集仓储、装卸、分拨周转、集装箱运输等多功能于一体的物流园区。深化与盐田港集团总部对接合作，建成长江总部公司，整合盐田港沿江港口资源，吸引更多国内外大型水运、空运、物流企业在西塞山区设立区域总部，形成集聚效应，带动港口物流、航运服务转型升级，远期推动长江总部公司IPO上市。</w:t>
      </w:r>
    </w:p>
    <w:p>
      <w:pPr>
        <w:pStyle w:val="4"/>
        <w:keepNext w:val="0"/>
        <w:keepLines w:val="0"/>
        <w:widowControl w:val="0"/>
        <w:spacing w:before="0" w:after="0" w:line="560" w:lineRule="exact"/>
        <w:ind w:firstLine="640" w:firstLineChars="200"/>
        <w:jc w:val="both"/>
        <w:rPr>
          <w:rFonts w:ascii="Times New Roman" w:hAnsi="Times New Roman" w:eastAsia="黑体" w:cs="Times New Roman"/>
          <w:b w:val="0"/>
          <w:bCs w:val="0"/>
          <w:lang w:val="zh-CN"/>
        </w:rPr>
      </w:pPr>
      <w:r>
        <w:rPr>
          <w:rFonts w:ascii="Times New Roman" w:hAnsi="Times New Roman" w:eastAsia="黑体" w:cs="Times New Roman"/>
          <w:b w:val="0"/>
          <w:bCs w:val="0"/>
          <w:lang w:val="zh-CN"/>
        </w:rPr>
        <w:t>二、</w:t>
      </w:r>
      <w:bookmarkStart w:id="105" w:name="_Hlk60742531"/>
      <w:r>
        <w:rPr>
          <w:rFonts w:ascii="Times New Roman" w:hAnsi="Times New Roman" w:eastAsia="黑体" w:cs="Times New Roman"/>
          <w:b w:val="0"/>
          <w:bCs w:val="0"/>
          <w:lang w:val="zh-CN"/>
        </w:rPr>
        <w:t>加快发展高品质专业化物流</w:t>
      </w:r>
    </w:p>
    <w:bookmarkEnd w:id="105"/>
    <w:p>
      <w:pPr>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大力发展以特钢物流为重点的专业化物流，全力推进临港物流产业园、工业园区物流产业园、进出口国际物流产业园等项目建设，构建高效的现代物流网络体系，打造区域物流枢纽。引导园内物流企业为园内先进装备制造企业和高新技术企业量身定做供应链管理库存、线边物流、供应链一体化服务等物流解决方案，增强柔性制造、敏捷制造能力需要，面向园内先进装备制造企业和高新技术企业提供及时、准确的物流信息服务，促进园内先进装备制造企业和高新技术企业与物流企业高效协同。积极探索和推进区块链、第五代移动通信技术（5G）等新兴技术在物流信息共享和物流信用体系建设中的应用。</w:t>
      </w:r>
    </w:p>
    <w:p>
      <w:pPr>
        <w:pStyle w:val="4"/>
        <w:keepNext w:val="0"/>
        <w:keepLines w:val="0"/>
        <w:widowControl w:val="0"/>
        <w:spacing w:before="0" w:after="0" w:line="560" w:lineRule="exact"/>
        <w:ind w:firstLine="640" w:firstLineChars="200"/>
        <w:jc w:val="both"/>
        <w:rPr>
          <w:rFonts w:ascii="Times New Roman" w:hAnsi="Times New Roman" w:eastAsia="黑体" w:cs="Times New Roman"/>
          <w:b w:val="0"/>
          <w:bCs w:val="0"/>
          <w:lang w:val="zh-CN"/>
        </w:rPr>
      </w:pPr>
      <w:r>
        <w:rPr>
          <w:rFonts w:ascii="Times New Roman" w:hAnsi="Times New Roman" w:eastAsia="黑体" w:cs="Times New Roman"/>
          <w:b w:val="0"/>
          <w:bCs w:val="0"/>
          <w:lang w:val="zh-CN"/>
        </w:rPr>
        <w:t>三、发展高附加值的农产品和医药冷链物流服务体系</w:t>
      </w:r>
    </w:p>
    <w:p>
      <w:pPr>
        <w:spacing w:line="560" w:lineRule="exact"/>
        <w:ind w:firstLine="56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建设农产品冷链物流服务体系，培育、引进一批经济实力雄厚、经营理念和管理方式先进、核心竞争力强的大型农产品冷链物流企业，利用毗邻顺丰机场的优势，实现武汉等周边城市农副产品供应的全覆盖。大力推广食品追溯技术，全面记录产品从源头产地到终端消费的冷链全过程，积极响应国家疫情常态化防控政策。建设医药冷链物流服务体系，推动制药企业与第三方医药冷链物流体系的配合。将医药企业的生产、存储和第三方医药冷链物流企业的运输等环节实现一体化，提高冷链物流的效率，降低损耗。引进先进药品冷链物流技术，完成药品全过程信息化跟踪。引进行业领先医药冷链运输企业，打造具有高附加值的医药冷链物流服务体系。</w:t>
      </w:r>
    </w:p>
    <w:p>
      <w:pPr>
        <w:pStyle w:val="4"/>
        <w:keepNext w:val="0"/>
        <w:keepLines w:val="0"/>
        <w:widowControl w:val="0"/>
        <w:spacing w:before="0" w:after="0" w:line="560" w:lineRule="exact"/>
        <w:ind w:firstLine="640" w:firstLineChars="200"/>
        <w:jc w:val="both"/>
        <w:rPr>
          <w:rFonts w:ascii="Times New Roman" w:hAnsi="Times New Roman" w:eastAsia="黑体" w:cs="Times New Roman"/>
          <w:b w:val="0"/>
          <w:bCs w:val="0"/>
          <w:lang w:val="zh-CN"/>
        </w:rPr>
      </w:pPr>
      <w:r>
        <w:rPr>
          <w:rFonts w:ascii="Times New Roman" w:hAnsi="Times New Roman" w:eastAsia="黑体" w:cs="Times New Roman"/>
          <w:b w:val="0"/>
          <w:bCs w:val="0"/>
          <w:lang w:val="zh-CN"/>
        </w:rPr>
        <w:t>四、完善应急物流体系建设</w:t>
      </w:r>
    </w:p>
    <w:p>
      <w:pPr>
        <w:spacing w:line="560" w:lineRule="exact"/>
        <w:ind w:firstLine="56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积极参与国家应急物流数字化平台的构建，收集上下游数据信息，形成产业导向和产业链的高度整合。研究制定健全应急物流体系的实施方案，建立以企业为主体的应急物流队伍，在发生重大突发事件时确保主要制造产业链平稳运行。支持园区内物流企业和应急物资制造企业深度合作，研究制定应急保障预案，提高紧急情况下关键原辅料、产成品等调运效率。大力拓展无人机、AGV机器人、无人驾驶货车、无人仓、智能快递柜等新设备在物流领域的应用和普及。不断发展“无车承运人”“互联网+物流”等网络货运新业态，以及仓配一体化、城乡共同配送等物流配送新模式。</w:t>
      </w:r>
    </w:p>
    <w:p>
      <w:pPr>
        <w:pStyle w:val="4"/>
        <w:keepNext w:val="0"/>
        <w:keepLines w:val="0"/>
        <w:widowControl w:val="0"/>
        <w:spacing w:before="0" w:after="0" w:line="560" w:lineRule="exact"/>
        <w:ind w:firstLine="640" w:firstLineChars="200"/>
        <w:jc w:val="both"/>
        <w:rPr>
          <w:rFonts w:ascii="Times New Roman" w:hAnsi="Times New Roman" w:eastAsia="黑体" w:cs="Times New Roman"/>
          <w:b w:val="0"/>
          <w:bCs w:val="0"/>
          <w:lang w:val="zh-CN"/>
        </w:rPr>
      </w:pPr>
      <w:r>
        <w:rPr>
          <w:rFonts w:ascii="Times New Roman" w:hAnsi="Times New Roman" w:eastAsia="黑体" w:cs="Times New Roman"/>
          <w:b w:val="0"/>
          <w:bCs w:val="0"/>
          <w:lang w:val="zh-CN"/>
        </w:rPr>
        <w:t>五、推动跨境物流发展</w:t>
      </w:r>
    </w:p>
    <w:p>
      <w:pPr>
        <w:spacing w:line="560" w:lineRule="exact"/>
        <w:ind w:firstLine="56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充分发挥黄石临港产业</w:t>
      </w:r>
      <w:r>
        <w:rPr>
          <w:rFonts w:hint="eastAsia" w:ascii="Times New Roman" w:hAnsi="Times New Roman" w:eastAsia="仿宋_GB2312" w:cs="Times New Roman"/>
          <w:sz w:val="32"/>
          <w:szCs w:val="32"/>
        </w:rPr>
        <w:t>园</w:t>
      </w:r>
      <w:r>
        <w:rPr>
          <w:rFonts w:ascii="Times New Roman" w:hAnsi="Times New Roman" w:eastAsia="仿宋_GB2312" w:cs="Times New Roman"/>
          <w:sz w:val="32"/>
          <w:szCs w:val="32"/>
        </w:rPr>
        <w:t>区临江优势，加强与顺丰机场、黄石新港物流园的空港联动，发展国际航运与物流业。提供中转服务，协助开展全球保健品第三、四类型药物、母婴类和美妆类商品、医疗美容医疗器械、奢侈品等商品的跨境产品采购、仓储、分拨、运输服务，大力发挥其作为货运枢纽型物流园区具有智能仓储和冷链保鲜的优势。</w:t>
      </w:r>
      <w:r>
        <w:rPr>
          <w:rFonts w:hint="eastAsia" w:ascii="Times New Roman" w:hAnsi="Times New Roman" w:eastAsia="仿宋_GB2312" w:cs="Times New Roman"/>
          <w:sz w:val="32"/>
          <w:szCs w:val="32"/>
        </w:rPr>
        <w:t>推动</w:t>
      </w:r>
      <w:r>
        <w:rPr>
          <w:rFonts w:ascii="Times New Roman" w:hAnsi="Times New Roman" w:eastAsia="仿宋_GB2312" w:cs="Times New Roman"/>
          <w:sz w:val="32"/>
          <w:szCs w:val="32"/>
        </w:rPr>
        <w:t>物流采购中心、区域物流运营结算中心、区域跨境电商分拨中心、物流分发中心以及与之相配套的酒店、商业、文化和居住等项目。加强与区外航运产业聚集区协同发展，探索形成具有国际竞争力的跨境物流发展制度和协同运作模式。</w:t>
      </w:r>
    </w:p>
    <w:p>
      <w:pPr>
        <w:pStyle w:val="4"/>
        <w:keepNext w:val="0"/>
        <w:keepLines w:val="0"/>
        <w:widowControl w:val="0"/>
        <w:spacing w:before="0" w:after="0" w:line="560" w:lineRule="exact"/>
        <w:ind w:firstLine="640" w:firstLineChars="200"/>
        <w:jc w:val="both"/>
        <w:rPr>
          <w:rFonts w:ascii="Times New Roman" w:hAnsi="Times New Roman" w:eastAsia="黑体" w:cs="Times New Roman"/>
          <w:b w:val="0"/>
          <w:bCs w:val="0"/>
          <w:lang w:val="zh-CN"/>
        </w:rPr>
      </w:pPr>
      <w:r>
        <w:rPr>
          <w:rFonts w:ascii="Times New Roman" w:hAnsi="Times New Roman" w:eastAsia="黑体" w:cs="Times New Roman"/>
          <w:b w:val="0"/>
          <w:bCs w:val="0"/>
          <w:lang w:val="zh-CN"/>
        </w:rPr>
        <w:t>六、提供检测维修等保障服务</w:t>
      </w:r>
    </w:p>
    <w:p>
      <w:pPr>
        <w:spacing w:line="560" w:lineRule="exact"/>
        <w:ind w:firstLine="560"/>
        <w:jc w:val="both"/>
        <w:rPr>
          <w:rFonts w:ascii="Times New Roman" w:hAnsi="Times New Roman" w:eastAsia="楷体_GB2312" w:cs="Times New Roman"/>
          <w:b/>
          <w:bCs/>
          <w:sz w:val="32"/>
          <w:szCs w:val="32"/>
        </w:rPr>
      </w:pPr>
      <w:r>
        <w:rPr>
          <w:rFonts w:ascii="Times New Roman" w:hAnsi="Times New Roman" w:eastAsia="仿宋_GB2312" w:cs="Times New Roman"/>
          <w:sz w:val="32"/>
          <w:szCs w:val="32"/>
        </w:rPr>
        <w:t>加快发展船舶和航空用品供应、国际船舶和飞行器检测维修、发动机组装及维修、备件供应、原油进口、保税燃料油加油等综合服务业。以货运航空、新能源汽车和大型设备零部件为核心，为顺丰机场建设综合性飞机及航空器检测维修服务中心，为临港物流园建设保税船供备件中心、汽车船舶及大型设备维修检测中心，打造涵盖飞机、船舶、设备维修的综合型测维修与再制造基地。</w:t>
      </w:r>
    </w:p>
    <w:p>
      <w:pPr>
        <w:widowControl w:val="0"/>
        <w:spacing w:before="240" w:after="60" w:line="560" w:lineRule="exact"/>
        <w:jc w:val="center"/>
        <w:outlineLvl w:val="1"/>
        <w:rPr>
          <w:rFonts w:ascii="Times New Roman" w:hAnsi="Times New Roman" w:eastAsia="楷体_GB2312" w:cs="Times New Roman"/>
          <w:b/>
          <w:bCs/>
          <w:sz w:val="32"/>
          <w:szCs w:val="32"/>
        </w:rPr>
      </w:pPr>
      <w:bookmarkStart w:id="106" w:name="_Toc21032"/>
      <w:r>
        <w:rPr>
          <w:rFonts w:ascii="Times New Roman" w:hAnsi="Times New Roman" w:eastAsia="楷体_GB2312" w:cs="Times New Roman"/>
          <w:b/>
          <w:bCs/>
          <w:sz w:val="32"/>
          <w:szCs w:val="32"/>
        </w:rPr>
        <w:t>第三节  突破性发展现代服务业</w:t>
      </w:r>
      <w:bookmarkEnd w:id="106"/>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围绕制造业产业服务，加快发展研发设计、科技服务、现代物流、金融服务、信息服务、人力资源等生产性服务业，大力发展总部经济、会展经济、网络经济，建设一批专业化服务平台，构建全产业链区域服务体系。到“十四五”期末，实现第三产业增加值同比增幅逐年递增8%，占GDP的45%。</w:t>
      </w:r>
    </w:p>
    <w:p>
      <w:pPr>
        <w:pStyle w:val="4"/>
        <w:keepNext w:val="0"/>
        <w:keepLines w:val="0"/>
        <w:widowControl w:val="0"/>
        <w:spacing w:before="0" w:after="0" w:line="560" w:lineRule="exact"/>
        <w:ind w:firstLine="640" w:firstLineChars="200"/>
        <w:jc w:val="both"/>
        <w:rPr>
          <w:rFonts w:ascii="Times New Roman" w:hAnsi="Times New Roman" w:eastAsia="黑体" w:cs="Times New Roman"/>
          <w:b w:val="0"/>
          <w:bCs w:val="0"/>
          <w:lang w:val="zh-CN"/>
        </w:rPr>
      </w:pPr>
      <w:bookmarkStart w:id="107" w:name="_Toc53743437"/>
      <w:bookmarkStart w:id="108" w:name="_Toc345"/>
      <w:bookmarkStart w:id="109" w:name="_Toc55555946"/>
      <w:bookmarkStart w:id="110" w:name="_Toc54081250"/>
      <w:r>
        <w:rPr>
          <w:rFonts w:ascii="Times New Roman" w:hAnsi="Times New Roman" w:eastAsia="黑体" w:cs="Times New Roman"/>
          <w:b w:val="0"/>
          <w:bCs w:val="0"/>
          <w:lang w:val="zh-CN"/>
        </w:rPr>
        <w:t>一、</w:t>
      </w:r>
      <w:bookmarkEnd w:id="107"/>
      <w:bookmarkEnd w:id="108"/>
      <w:bookmarkEnd w:id="109"/>
      <w:bookmarkEnd w:id="110"/>
      <w:r>
        <w:rPr>
          <w:rFonts w:ascii="Times New Roman" w:hAnsi="Times New Roman" w:eastAsia="黑体" w:cs="Times New Roman"/>
          <w:b w:val="0"/>
          <w:bCs w:val="0"/>
          <w:lang w:val="zh-CN"/>
        </w:rPr>
        <w:t>大力发展科技服务业</w:t>
      </w:r>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大力发展科技战略研究、科技评估、科技招投标、管理咨询等科技咨询服务，延伸发展技术转移、知识产权等科技中介服务。鼓励市场化机构发展检验检测认证、创业孵化、科技金融等专业科技服务。围绕新材料、智能制造装备、生物医药等产业服务需求，积极培育壮大园区科技服务市场主体，促进科技服务业专业化、规模化发展。重点支持湖北理工学院等高校院所与企业合作在园区设立一批专业研发平台，为企业提供研发服务，包括研发设计、信息技术服务、服务外包等。完善公共服务平台，围绕产业发展需求，采用市场化运营等方式，建设一批研发设计平台、检测检验平台、技术转移平台、知识产权服务平台等公共技术平台。支持企业运用省科学仪器设备协作共用网等科技资源共享平台，共享全省科学仪器设备资源。支持新冶钢等有条件的企业将研发中心、设计中心、检验检测中心等平台向社会开放，探索建立市场化盈利机制，提供科技研发、技术推广、工业设计、技术服务等专业化科技服务。</w:t>
      </w:r>
    </w:p>
    <w:p>
      <w:pPr>
        <w:pStyle w:val="4"/>
        <w:keepNext w:val="0"/>
        <w:keepLines w:val="0"/>
        <w:widowControl w:val="0"/>
        <w:spacing w:before="0" w:after="0" w:line="560" w:lineRule="exact"/>
        <w:ind w:firstLine="640" w:firstLineChars="200"/>
        <w:jc w:val="both"/>
        <w:rPr>
          <w:rFonts w:ascii="Times New Roman" w:hAnsi="Times New Roman" w:eastAsia="黑体" w:cs="Times New Roman"/>
          <w:b w:val="0"/>
          <w:bCs w:val="0"/>
          <w:lang w:val="zh-CN"/>
        </w:rPr>
      </w:pPr>
      <w:bookmarkStart w:id="111" w:name="_Toc18165"/>
      <w:bookmarkStart w:id="112" w:name="_Toc55555948"/>
      <w:bookmarkStart w:id="113" w:name="_Toc53743439"/>
      <w:bookmarkStart w:id="114" w:name="_Toc54081252"/>
      <w:bookmarkStart w:id="115" w:name="_Toc54081251"/>
      <w:bookmarkStart w:id="116" w:name="_Toc53743438"/>
      <w:bookmarkStart w:id="117" w:name="_Toc55555947"/>
      <w:bookmarkStart w:id="118" w:name="_Toc21355"/>
      <w:r>
        <w:rPr>
          <w:rFonts w:ascii="Times New Roman" w:hAnsi="Times New Roman" w:eastAsia="黑体" w:cs="Times New Roman"/>
          <w:b w:val="0"/>
          <w:bCs w:val="0"/>
          <w:lang w:val="zh-CN"/>
        </w:rPr>
        <w:t>二、全力推进电子商务发展</w:t>
      </w:r>
      <w:bookmarkEnd w:id="111"/>
      <w:bookmarkEnd w:id="112"/>
      <w:bookmarkEnd w:id="113"/>
      <w:bookmarkEnd w:id="114"/>
    </w:p>
    <w:p>
      <w:pPr>
        <w:widowControl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大力</w:t>
      </w:r>
      <w:r>
        <w:rPr>
          <w:rFonts w:ascii="Times New Roman" w:hAnsi="Times New Roman" w:eastAsia="仿宋_GB2312" w:cs="Times New Roman"/>
          <w:sz w:val="32"/>
          <w:szCs w:val="32"/>
        </w:rPr>
        <w:t>发展电子商务产业集群</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支持大企业电子商务平台开展面向行业用户的采购销售需求提供在线交易、支付结算、物流配送等服务。引进电子商业企业落户发展，对接临港物流平台，建成专业化的电子商务交易平台。推进电子商务在民生领域的应用，逐步覆盖居民交通出行、公共缴费、社区服务等方面的应用和服务，结合信息服务平台，鼓励餐饮企业开展网上预订服务，方便居民生活。</w:t>
      </w:r>
    </w:p>
    <w:p>
      <w:pPr>
        <w:pStyle w:val="4"/>
        <w:keepNext w:val="0"/>
        <w:keepLines w:val="0"/>
        <w:widowControl w:val="0"/>
        <w:spacing w:before="0" w:after="0" w:line="560" w:lineRule="exact"/>
        <w:ind w:firstLine="640" w:firstLineChars="200"/>
        <w:jc w:val="both"/>
        <w:rPr>
          <w:rFonts w:ascii="Times New Roman" w:hAnsi="Times New Roman" w:eastAsia="黑体" w:cs="Times New Roman"/>
          <w:b w:val="0"/>
          <w:bCs w:val="0"/>
          <w:lang w:val="zh-CN"/>
        </w:rPr>
      </w:pPr>
      <w:r>
        <w:rPr>
          <w:rFonts w:ascii="Times New Roman" w:hAnsi="Times New Roman" w:eastAsia="黑体" w:cs="Times New Roman"/>
          <w:b w:val="0"/>
          <w:bCs w:val="0"/>
          <w:lang w:val="zh-CN"/>
        </w:rPr>
        <w:t>三、大力培育总部经济</w:t>
      </w:r>
      <w:bookmarkEnd w:id="115"/>
      <w:bookmarkEnd w:id="116"/>
      <w:bookmarkEnd w:id="117"/>
      <w:bookmarkEnd w:id="118"/>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积极培育税源经济，完善总部经济发展配套环境，大力引进知识密集型和高附加值的现代服务业企业总部落户。建设总部经济大楼，狠抓特色楼宇建设，加快发展新经济业态，培育产业新动能。支持总部企业开发建设，继续做好总部1号的对接服务工作，完成总部2号（临港产业园）的选址和升级改造，推进总部经济3/4/5号项目建设，大力开展楼宇招商，引进总部经济企业5-6家，打造特色总部经济大楼，吸引企业总部经济落户西塞山区，提升区域经济竞争力。</w:t>
      </w:r>
      <w:r>
        <w:rPr>
          <w:rFonts w:ascii="Times New Roman" w:hAnsi="Times New Roman" w:eastAsia="仿宋_GB2312" w:cs="Times New Roman"/>
          <w:kern w:val="2"/>
          <w:sz w:val="32"/>
          <w:szCs w:val="32"/>
        </w:rPr>
        <w:t>加强对医保药业、武汉朗帛、迈高医药等企业的服务力度，协助销售总部在本地形成税收的同时，促进集团总部将服务类业务向西塞山区转移，进一步扩大合作</w:t>
      </w:r>
      <w:r>
        <w:rPr>
          <w:rFonts w:ascii="Times New Roman" w:hAnsi="Times New Roman" w:eastAsia="仿宋_GB2312" w:cs="Times New Roman"/>
          <w:sz w:val="32"/>
          <w:szCs w:val="32"/>
        </w:rPr>
        <w:t>。</w:t>
      </w:r>
    </w:p>
    <w:p>
      <w:pPr>
        <w:pStyle w:val="4"/>
        <w:keepNext w:val="0"/>
        <w:keepLines w:val="0"/>
        <w:widowControl w:val="0"/>
        <w:spacing w:before="0" w:after="0" w:line="560" w:lineRule="exact"/>
        <w:ind w:firstLine="640" w:firstLineChars="200"/>
        <w:jc w:val="both"/>
        <w:rPr>
          <w:rFonts w:ascii="Times New Roman" w:hAnsi="Times New Roman" w:eastAsia="黑体" w:cs="Times New Roman"/>
          <w:b w:val="0"/>
          <w:bCs w:val="0"/>
          <w:lang w:val="zh-CN"/>
        </w:rPr>
      </w:pPr>
      <w:r>
        <w:rPr>
          <w:rFonts w:ascii="Times New Roman" w:hAnsi="Times New Roman" w:eastAsia="黑体" w:cs="Times New Roman"/>
          <w:b w:val="0"/>
          <w:bCs w:val="0"/>
          <w:lang w:val="zh-CN"/>
        </w:rPr>
        <w:t>四、打造“互联网+”产业服务基地</w:t>
      </w:r>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打造以大数据为基础</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互联网+”产业服务基地，围绕园区产业提供互联网配套服务。提供包括展示交易、跨境综合服务、电子商务、供应链金融、创新孵化、数据云、电商运营服务、商务生活配套等“互联网+”产业服务，吸引和聚集区域及本地的现代产业企业。依托“互联网+”产业服务基地为入驻企业搭建产品推广平台，引入知名网络推广机构，为入驻企业提供产品包装、品牌推广、销售渠道铺设等一系列配套服务，提升企业网络形象，帮助企业快速打造行业明星品牌，实现品牌价值及产品价格的提升，提高企业业绩增长速度，促进网站销售业绩。引入网站运营机构，为入驻企业提供“电子商务体系搭建、商城代运营、顾问式辅导”服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帮助入驻企业进驻电商平台，并授权打理网店的运营。</w:t>
      </w:r>
    </w:p>
    <w:p>
      <w:pPr>
        <w:pStyle w:val="4"/>
        <w:keepNext w:val="0"/>
        <w:keepLines w:val="0"/>
        <w:widowControl w:val="0"/>
        <w:spacing w:before="0" w:after="0" w:line="560" w:lineRule="exact"/>
        <w:ind w:firstLine="640" w:firstLineChars="200"/>
        <w:jc w:val="both"/>
        <w:rPr>
          <w:rFonts w:ascii="Times New Roman" w:hAnsi="Times New Roman" w:eastAsia="黑体" w:cs="Times New Roman"/>
          <w:b w:val="0"/>
          <w:bCs w:val="0"/>
          <w:lang w:val="zh-CN"/>
        </w:rPr>
      </w:pPr>
      <w:bookmarkStart w:id="119" w:name="_Toc54081253"/>
      <w:bookmarkStart w:id="120" w:name="_Toc14085"/>
      <w:bookmarkStart w:id="121" w:name="_Toc53743440"/>
      <w:bookmarkStart w:id="122" w:name="_Toc55555949"/>
      <w:r>
        <w:rPr>
          <w:rFonts w:ascii="Times New Roman" w:hAnsi="Times New Roman" w:eastAsia="黑体" w:cs="Times New Roman"/>
          <w:b w:val="0"/>
          <w:bCs w:val="0"/>
          <w:lang w:val="zh-CN"/>
        </w:rPr>
        <w:t>五、提升商贸服务水平</w:t>
      </w:r>
      <w:bookmarkEnd w:id="119"/>
      <w:bookmarkEnd w:id="120"/>
      <w:bookmarkEnd w:id="121"/>
      <w:bookmarkEnd w:id="122"/>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瞄准“四圈一中心”（大上海广场核心商圈、上窑特色小商品市场商圈、黄厂街商圈、卓尔·磁湖南岸商圈和武商黄石购物中心）的发展定位，打造示范性服务业集聚区吸引重大项目、龙头企业集聚。加快提升大上海商圈业态，发挥武商黄石购物中心龙头带动作用，实施“首店计划”和“老字号店”引入计划，带动周边中高档消费，打造全市最具影响力的核心商贸区；扶持上窑特色小商品市场、财富广场等传统市场做大做强；启动黄思湾商圈商业综合体建设。大力引进大型商超、精品餐饮住宿酒店、高端奢侈品店、品牌连锁等国内外知名商贸企业入驻，全力打造鄂东南地区最具核心竞争力的现代化商贸中心区。同时发展“小店经济”，推进新零售、新金融、新娱乐进社区，支持分布式社区肉菜店建设，推动消费向各领域覆盖、全过程延伸、家门口体验。搭建智慧社区服务平台，选取社区生活服务业发展试点，在创新社区生活服务业管理制度、发展模式和服务载体等方面探索，突出发展社区便民服务。</w:t>
      </w:r>
    </w:p>
    <w:tbl>
      <w:tblPr>
        <w:tblStyle w:val="10"/>
        <w:tblW w:w="8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59" w:type="dxa"/>
            <w:noWrap w:val="0"/>
            <w:vAlign w:val="top"/>
          </w:tcPr>
          <w:p>
            <w:pPr>
              <w:widowControl w:val="0"/>
              <w:spacing w:line="400" w:lineRule="exact"/>
              <w:jc w:val="center"/>
              <w:rPr>
                <w:rFonts w:ascii="Times New Roman" w:hAnsi="Times New Roman" w:eastAsia="仿宋_GB2312" w:cs="Times New Roman"/>
                <w:b/>
                <w:bCs/>
              </w:rPr>
            </w:pPr>
            <w:r>
              <w:rPr>
                <w:rFonts w:ascii="Times New Roman" w:hAnsi="Times New Roman" w:eastAsia="仿宋_GB2312" w:cs="Times New Roman"/>
                <w:b/>
                <w:bCs/>
              </w:rPr>
              <w:t>专栏6-1 临港现代服务业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59" w:type="dxa"/>
            <w:noWrap w:val="0"/>
            <w:vAlign w:val="top"/>
          </w:tcPr>
          <w:p>
            <w:pPr>
              <w:pStyle w:val="14"/>
              <w:widowControl w:val="0"/>
              <w:spacing w:line="400" w:lineRule="exact"/>
              <w:ind w:firstLine="420" w:firstLineChars="200"/>
              <w:rPr>
                <w:rFonts w:ascii="Times New Roman" w:hAnsi="Times New Roman" w:eastAsia="仿宋_GB2312" w:cs="Times New Roman"/>
                <w:b/>
                <w:bCs/>
              </w:rPr>
            </w:pPr>
            <w:r>
              <w:rPr>
                <w:rFonts w:ascii="Times New Roman" w:hAnsi="Times New Roman" w:eastAsia="仿宋_GB2312" w:cs="Times New Roman"/>
                <w:b/>
                <w:bCs/>
              </w:rPr>
              <w:t>1.现代物流</w:t>
            </w:r>
          </w:p>
          <w:p>
            <w:pPr>
              <w:pStyle w:val="14"/>
              <w:widowControl w:val="0"/>
              <w:spacing w:line="400" w:lineRule="exact"/>
              <w:ind w:firstLine="420" w:firstLineChars="200"/>
              <w:rPr>
                <w:rFonts w:ascii="Times New Roman" w:hAnsi="Times New Roman" w:eastAsia="仿宋_GB2312" w:cs="Times New Roman"/>
              </w:rPr>
            </w:pPr>
            <w:r>
              <w:rPr>
                <w:rFonts w:ascii="Times New Roman" w:hAnsi="Times New Roman" w:eastAsia="仿宋_GB2312" w:cs="Times New Roman"/>
              </w:rPr>
              <w:t>临港物流产业园、工业园区物流产业园、进出口国际物流产业园、智慧物流平台。</w:t>
            </w:r>
          </w:p>
          <w:p>
            <w:pPr>
              <w:pStyle w:val="14"/>
              <w:widowControl w:val="0"/>
              <w:spacing w:line="400" w:lineRule="exact"/>
              <w:ind w:firstLine="420" w:firstLineChars="200"/>
              <w:rPr>
                <w:rFonts w:ascii="Times New Roman" w:hAnsi="Times New Roman" w:eastAsia="仿宋_GB2312" w:cs="Times New Roman"/>
                <w:b/>
                <w:bCs/>
              </w:rPr>
            </w:pPr>
            <w:r>
              <w:rPr>
                <w:rFonts w:ascii="Times New Roman" w:hAnsi="Times New Roman" w:eastAsia="仿宋_GB2312" w:cs="Times New Roman"/>
                <w:b/>
                <w:bCs/>
              </w:rPr>
              <w:t>2.总部经济</w:t>
            </w:r>
          </w:p>
          <w:p>
            <w:pPr>
              <w:pStyle w:val="14"/>
              <w:widowControl w:val="0"/>
              <w:spacing w:line="400" w:lineRule="exact"/>
              <w:ind w:firstLine="420" w:firstLineChars="200"/>
              <w:rPr>
                <w:rFonts w:ascii="Times New Roman" w:hAnsi="Times New Roman" w:eastAsia="仿宋_GB2312" w:cs="Times New Roman"/>
              </w:rPr>
            </w:pPr>
            <w:r>
              <w:rPr>
                <w:rFonts w:ascii="Times New Roman" w:hAnsi="Times New Roman" w:eastAsia="仿宋_GB2312" w:cs="Times New Roman"/>
              </w:rPr>
              <w:t>总部经济3、4、5号项目、总部经济2号大楼建设项目。</w:t>
            </w:r>
          </w:p>
          <w:p>
            <w:pPr>
              <w:pStyle w:val="14"/>
              <w:widowControl w:val="0"/>
              <w:spacing w:line="400" w:lineRule="exact"/>
              <w:ind w:firstLine="420" w:firstLineChars="200"/>
              <w:rPr>
                <w:rFonts w:ascii="Times New Roman" w:hAnsi="Times New Roman" w:eastAsia="仿宋_GB2312" w:cs="Times New Roman"/>
                <w:b/>
                <w:bCs/>
              </w:rPr>
            </w:pPr>
            <w:r>
              <w:rPr>
                <w:rFonts w:ascii="Times New Roman" w:hAnsi="Times New Roman" w:eastAsia="仿宋_GB2312" w:cs="Times New Roman"/>
                <w:b/>
                <w:bCs/>
              </w:rPr>
              <w:t>3.商贸服务业</w:t>
            </w:r>
          </w:p>
          <w:p>
            <w:pPr>
              <w:pStyle w:val="14"/>
              <w:widowControl w:val="0"/>
              <w:spacing w:line="400" w:lineRule="exact"/>
              <w:ind w:firstLine="420" w:firstLineChars="200"/>
              <w:rPr>
                <w:rFonts w:ascii="Times New Roman" w:hAnsi="Times New Roman" w:eastAsia="仿宋_GB2312" w:cs="Times New Roman"/>
              </w:rPr>
            </w:pPr>
            <w:r>
              <w:rPr>
                <w:rFonts w:ascii="Times New Roman" w:hAnsi="Times New Roman" w:eastAsia="仿宋_GB2312" w:cs="Times New Roman"/>
              </w:rPr>
              <w:t>碧桂园磁湖半岛商圈、大上海特色商业街区、磁湖南岸城市休闲客厅（RBD）、河口镇商业综合体、黄厂街商业综合体、朱家嘴商业综合体、胡家湾商业综合体、武商购物中心沉浸式5D影视体验馆建设。</w:t>
            </w:r>
          </w:p>
        </w:tc>
      </w:tr>
      <w:bookmarkEnd w:id="86"/>
    </w:tbl>
    <w:p>
      <w:pPr>
        <w:widowControl w:val="0"/>
        <w:spacing w:line="560" w:lineRule="exact"/>
        <w:jc w:val="both"/>
        <w:rPr>
          <w:rFonts w:ascii="Times New Roman" w:hAnsi="Times New Roman" w:eastAsia="仿宋_GB2312" w:cs="Times New Roman"/>
          <w:sz w:val="32"/>
          <w:szCs w:val="32"/>
        </w:rPr>
        <w:sectPr>
          <w:pgSz w:w="11906" w:h="16838"/>
          <w:pgMar w:top="2098" w:right="1531" w:bottom="1985" w:left="1531" w:header="851" w:footer="992" w:gutter="0"/>
          <w:cols w:space="720" w:num="1"/>
          <w:docGrid w:type="linesAndChars" w:linePitch="312" w:charSpace="0"/>
        </w:sectPr>
      </w:pPr>
    </w:p>
    <w:p>
      <w:pPr>
        <w:widowControl w:val="0"/>
        <w:spacing w:before="240" w:after="100" w:afterAutospacing="1" w:line="560" w:lineRule="exact"/>
        <w:jc w:val="center"/>
        <w:outlineLvl w:val="0"/>
        <w:rPr>
          <w:rFonts w:ascii="Times New Roman" w:hAnsi="Times New Roman" w:eastAsia="黑体" w:cs="Times New Roman"/>
          <w:spacing w:val="-24"/>
          <w:kern w:val="32"/>
          <w:sz w:val="32"/>
          <w:szCs w:val="32"/>
        </w:rPr>
      </w:pPr>
      <w:bookmarkStart w:id="123" w:name="_Toc22100"/>
      <w:r>
        <w:rPr>
          <w:rFonts w:ascii="Times New Roman" w:hAnsi="Times New Roman" w:eastAsia="黑体" w:cs="Times New Roman"/>
          <w:spacing w:val="-24"/>
          <w:kern w:val="32"/>
          <w:sz w:val="32"/>
          <w:szCs w:val="32"/>
        </w:rPr>
        <w:t>第七章  建设“</w:t>
      </w:r>
      <w:bookmarkStart w:id="124" w:name="_Hlk60663659"/>
      <w:r>
        <w:rPr>
          <w:rFonts w:ascii="Times New Roman" w:hAnsi="Times New Roman" w:eastAsia="黑体" w:cs="Times New Roman"/>
          <w:spacing w:val="-24"/>
          <w:kern w:val="32"/>
          <w:sz w:val="32"/>
          <w:szCs w:val="32"/>
        </w:rPr>
        <w:t>全国老旧小区改造示范区</w:t>
      </w:r>
      <w:bookmarkEnd w:id="124"/>
      <w:r>
        <w:rPr>
          <w:rFonts w:ascii="Times New Roman" w:hAnsi="Times New Roman" w:eastAsia="黑体" w:cs="Times New Roman"/>
          <w:spacing w:val="-24"/>
          <w:kern w:val="32"/>
          <w:sz w:val="32"/>
          <w:szCs w:val="32"/>
        </w:rPr>
        <w:t>” 打造</w:t>
      </w:r>
      <w:bookmarkStart w:id="125" w:name="_Hlk60663675"/>
      <w:r>
        <w:rPr>
          <w:rFonts w:ascii="Times New Roman" w:hAnsi="Times New Roman" w:eastAsia="黑体" w:cs="Times New Roman"/>
          <w:spacing w:val="-24"/>
          <w:kern w:val="32"/>
          <w:sz w:val="32"/>
          <w:szCs w:val="32"/>
        </w:rPr>
        <w:t>“金湾秀带”西塞山</w:t>
      </w:r>
      <w:bookmarkEnd w:id="123"/>
      <w:bookmarkEnd w:id="125"/>
    </w:p>
    <w:p>
      <w:pPr>
        <w:widowControl w:val="0"/>
        <w:adjustRightInd w:val="0"/>
        <w:snapToGrid w:val="0"/>
        <w:spacing w:line="560" w:lineRule="exact"/>
        <w:ind w:firstLine="640" w:firstLineChars="200"/>
        <w:jc w:val="both"/>
        <w:rPr>
          <w:rFonts w:ascii="Times New Roman" w:hAnsi="Times New Roman" w:eastAsia="仿宋_GB2312" w:cs="Times New Roman"/>
          <w:snapToGrid w:val="0"/>
          <w:sz w:val="32"/>
          <w:szCs w:val="32"/>
        </w:rPr>
      </w:pPr>
      <w:r>
        <w:rPr>
          <w:rFonts w:ascii="Times New Roman" w:hAnsi="Times New Roman" w:eastAsia="仿宋_GB2312" w:cs="Times New Roman"/>
          <w:sz w:val="32"/>
          <w:szCs w:val="32"/>
        </w:rPr>
        <w:t>围绕黄石“山水宜居之城”目标，以建设“全国老旧小区改造示范区”为抓手，打造金湾秀带西塞山。</w:t>
      </w:r>
      <w:r>
        <w:rPr>
          <w:rFonts w:ascii="Times New Roman" w:hAnsi="Times New Roman" w:eastAsia="仿宋_GB2312" w:cs="Times New Roman"/>
          <w:snapToGrid w:val="0"/>
          <w:sz w:val="32"/>
          <w:szCs w:val="32"/>
        </w:rPr>
        <w:t>将老旧小区改造作为当前最重要、最紧迫的民生工作，深入实施城市更新行动，加快完善城乡基础设施，全面补齐城市人居环境短板，不断提升城市宜居品质。</w:t>
      </w:r>
    </w:p>
    <w:p>
      <w:pPr>
        <w:widowControl w:val="0"/>
        <w:spacing w:before="240" w:after="60" w:line="560" w:lineRule="exact"/>
        <w:jc w:val="center"/>
        <w:outlineLvl w:val="1"/>
        <w:rPr>
          <w:rFonts w:ascii="Times New Roman" w:hAnsi="Times New Roman" w:eastAsia="楷体_GB2312" w:cs="Times New Roman"/>
          <w:b/>
          <w:bCs/>
          <w:sz w:val="32"/>
          <w:szCs w:val="32"/>
        </w:rPr>
      </w:pPr>
      <w:bookmarkStart w:id="126" w:name="_Toc24611"/>
      <w:r>
        <w:rPr>
          <w:rFonts w:ascii="Times New Roman" w:hAnsi="Times New Roman" w:eastAsia="楷体_GB2312" w:cs="Times New Roman"/>
          <w:b/>
          <w:bCs/>
          <w:sz w:val="32"/>
          <w:szCs w:val="32"/>
        </w:rPr>
        <w:t>第一节  提升城市品质和管理水平</w:t>
      </w:r>
      <w:bookmarkEnd w:id="126"/>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以完善城市功能、提升城市品质为重点，加速老旧小区改造步伐，完善公共服务设施配套建设，全面实行城市精细化管理，着力推进城市管理的科学化、规范化、智能化，提高城市运行效能，着力打造更加文明、更有“温度”、更具魅力的现代化城区。</w:t>
      </w:r>
    </w:p>
    <w:p>
      <w:pPr>
        <w:pStyle w:val="4"/>
        <w:keepNext w:val="0"/>
        <w:keepLines w:val="0"/>
        <w:widowControl w:val="0"/>
        <w:spacing w:before="0" w:after="0" w:line="560" w:lineRule="exact"/>
        <w:ind w:firstLine="640" w:firstLineChars="200"/>
        <w:jc w:val="both"/>
        <w:rPr>
          <w:rFonts w:ascii="Times New Roman" w:hAnsi="Times New Roman" w:eastAsia="黑体" w:cs="Times New Roman"/>
          <w:b w:val="0"/>
          <w:bCs w:val="0"/>
          <w:lang w:val="zh-CN"/>
        </w:rPr>
      </w:pPr>
      <w:r>
        <w:rPr>
          <w:rFonts w:ascii="Times New Roman" w:hAnsi="Times New Roman" w:eastAsia="黑体" w:cs="Times New Roman"/>
          <w:b w:val="0"/>
          <w:bCs w:val="0"/>
          <w:lang w:val="zh-CN"/>
        </w:rPr>
        <w:t>一、加快老旧小区改造</w:t>
      </w:r>
    </w:p>
    <w:p>
      <w:pPr>
        <w:widowControl w:val="0"/>
        <w:spacing w:line="560" w:lineRule="exact"/>
        <w:ind w:firstLine="624" w:firstLineChars="200"/>
        <w:jc w:val="both"/>
        <w:rPr>
          <w:rFonts w:ascii="Times New Roman" w:hAnsi="Times New Roman" w:eastAsia="仿宋_GB2312" w:cs="Times New Roman"/>
          <w:spacing w:val="-4"/>
          <w:sz w:val="32"/>
          <w:szCs w:val="32"/>
        </w:rPr>
      </w:pPr>
      <w:r>
        <w:rPr>
          <w:rFonts w:ascii="Times New Roman" w:hAnsi="Times New Roman" w:eastAsia="仿宋_GB2312" w:cs="Times New Roman"/>
          <w:snapToGrid w:val="0"/>
          <w:spacing w:val="-4"/>
          <w:sz w:val="32"/>
          <w:szCs w:val="32"/>
        </w:rPr>
        <w:t>按照“三提一扩”、“四先四后”</w:t>
      </w:r>
      <w:r>
        <w:rPr>
          <w:rFonts w:hint="eastAsia" w:ascii="Times New Roman" w:hAnsi="Times New Roman" w:eastAsia="仿宋_GB2312" w:cs="Times New Roman"/>
          <w:snapToGrid w:val="0"/>
          <w:spacing w:val="-4"/>
          <w:sz w:val="32"/>
          <w:szCs w:val="32"/>
        </w:rPr>
        <w:t>的</w:t>
      </w:r>
      <w:r>
        <w:rPr>
          <w:rFonts w:ascii="Times New Roman" w:hAnsi="Times New Roman" w:eastAsia="仿宋_GB2312" w:cs="Times New Roman"/>
          <w:snapToGrid w:val="0"/>
          <w:spacing w:val="-4"/>
          <w:sz w:val="32"/>
          <w:szCs w:val="32"/>
        </w:rPr>
        <w:t>原则，持续深化拓展“金湾工程”内涵和外延，全面完成城区范围内老旧小区基础设施更新改造，加快建设完善老旧小区及周边养老、育幼、停车等便民配套设施；开展背街小巷整治，</w:t>
      </w:r>
      <w:r>
        <w:rPr>
          <w:rFonts w:ascii="Times New Roman" w:hAnsi="Times New Roman" w:eastAsia="仿宋_GB2312" w:cs="Times New Roman"/>
          <w:spacing w:val="-4"/>
          <w:sz w:val="32"/>
          <w:szCs w:val="32"/>
        </w:rPr>
        <w:t>对沿山排洪港进行修复提升美化，</w:t>
      </w:r>
      <w:r>
        <w:rPr>
          <w:rFonts w:ascii="Times New Roman" w:hAnsi="Times New Roman" w:eastAsia="仿宋_GB2312" w:cs="Times New Roman"/>
          <w:snapToGrid w:val="0"/>
          <w:spacing w:val="-4"/>
          <w:sz w:val="32"/>
          <w:szCs w:val="32"/>
        </w:rPr>
        <w:t>新建一批口袋公园等景观设施；充分挖掘利用历史文化资源，对长江沿线厂区、建筑、山体等重要节点洁化、绿化、亮化、美化，打造“百年钢城、十里秀带”，建成展示工业文化与宜居品质的生态、生产、生活廊道。</w:t>
      </w:r>
      <w:r>
        <w:rPr>
          <w:rFonts w:ascii="Times New Roman" w:hAnsi="Times New Roman" w:eastAsia="仿宋_GB2312" w:cs="Times New Roman"/>
          <w:spacing w:val="-4"/>
          <w:sz w:val="32"/>
          <w:szCs w:val="32"/>
        </w:rPr>
        <w:t>逐步推进中窑、沿湖路、桃园村、马家嘴等24个老旧小区改造工程，坚持特色化改造，黄思湾片凸显矿冶风情建筑风貌，中心城区片凸显新荆楚风建筑风貌，磁湖南岸片凸显生态宜居建筑风貌，每年新增1-2个亮点，建成老有所养、壮有所为、少有所乐，邻里守望、温馨和乐的宜居宜业宜游城区。加快推动胡家湾、太子湾、中窑湾、黄思湾等沿山“湾子”危房改造，加强基础功能和配套服务，消除安全隐患。加快棚改项目“清零”行动，完成大水机、河口二期等地块棚改工作，强力推进棚改地块综合开发。</w:t>
      </w:r>
    </w:p>
    <w:p>
      <w:pPr>
        <w:pStyle w:val="4"/>
        <w:keepNext w:val="0"/>
        <w:keepLines w:val="0"/>
        <w:widowControl w:val="0"/>
        <w:spacing w:before="0" w:after="0" w:line="560" w:lineRule="exact"/>
        <w:ind w:firstLine="640" w:firstLineChars="200"/>
        <w:jc w:val="both"/>
        <w:rPr>
          <w:rFonts w:ascii="Times New Roman" w:hAnsi="Times New Roman" w:eastAsia="黑体" w:cs="Times New Roman"/>
          <w:b w:val="0"/>
          <w:bCs w:val="0"/>
          <w:lang w:val="zh-CN"/>
        </w:rPr>
      </w:pPr>
      <w:r>
        <w:rPr>
          <w:rFonts w:ascii="Times New Roman" w:hAnsi="Times New Roman" w:eastAsia="黑体" w:cs="Times New Roman"/>
          <w:b w:val="0"/>
          <w:bCs w:val="0"/>
          <w:lang w:val="zh-CN"/>
        </w:rPr>
        <w:t>二、打造“15分钟生活圈”</w:t>
      </w:r>
    </w:p>
    <w:p>
      <w:pPr>
        <w:widowControl w:val="0"/>
        <w:adjustRightInd w:val="0"/>
        <w:snapToGrid w:val="0"/>
        <w:spacing w:line="560" w:lineRule="exact"/>
        <w:ind w:firstLine="640" w:firstLineChars="200"/>
        <w:jc w:val="both"/>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根据城区人口与服务发展需求，构建以15分钟步行为主导，以公共交通、自行车绿道交通为补充的便民生活圈。突出“服务、应急、活动、便民”四大功能，合理制定公共服务设施配置标准，完善城区、工业园区公共服务配套设施。聚焦“衣食住行、文教体卫”基本生活服务，完善城区医养医疗体系，推进教育资源均衡化配置，提升公共体育服务品质，改造提升便民商业网点，打造绿色、开放、共享的美好社区生活。对新冶钢二门至170桥段区域实施整体综合改造，打造展现黄石城市形象的景观廊道、生活秀带。</w:t>
      </w:r>
    </w:p>
    <w:p>
      <w:pPr>
        <w:pStyle w:val="4"/>
        <w:keepNext w:val="0"/>
        <w:keepLines w:val="0"/>
        <w:widowControl w:val="0"/>
        <w:spacing w:before="0" w:after="0" w:line="560" w:lineRule="exact"/>
        <w:ind w:firstLine="640" w:firstLineChars="200"/>
        <w:jc w:val="both"/>
        <w:rPr>
          <w:rFonts w:ascii="Times New Roman" w:hAnsi="Times New Roman" w:eastAsia="黑体" w:cs="Times New Roman"/>
          <w:b w:val="0"/>
          <w:bCs w:val="0"/>
        </w:rPr>
      </w:pPr>
      <w:bookmarkStart w:id="127" w:name="_Toc6908"/>
      <w:bookmarkStart w:id="128" w:name="_Toc55555968"/>
      <w:bookmarkStart w:id="129" w:name="_Toc53743459"/>
      <w:bookmarkStart w:id="130" w:name="_Toc54081272"/>
      <w:r>
        <w:rPr>
          <w:rFonts w:ascii="Times New Roman" w:hAnsi="Times New Roman" w:eastAsia="黑体" w:cs="Times New Roman"/>
          <w:b w:val="0"/>
          <w:bCs w:val="0"/>
          <w:lang w:val="zh-CN"/>
        </w:rPr>
        <w:t>三、全面提升城市管理效能</w:t>
      </w:r>
      <w:bookmarkEnd w:id="127"/>
      <w:bookmarkEnd w:id="128"/>
      <w:bookmarkEnd w:id="129"/>
      <w:bookmarkEnd w:id="130"/>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整合城市管理资源，构建“党政统筹、部门配合、市场运作、社会参与”的“大城管”工作格局。完善“智慧城管”平台和运行机制，推动城市管理向全感知、全物联、全景化方向发展。创新城市管理体制，加大城市管理综合执法力度，进一步推进城市管理由多口管理向归口管理转变。深入开展环境卫生和交通、市场秩序专项整治活动，加大城市治脏、治乱、治污、治堵力度，加强户外广告、建筑工地和渣土运输管理。推行垃圾分类收集，加快完善城镇垃圾收集、运输、处理系统，加强垃圾分类硬件设施建设。探索建立城区主干道、背街小巷环卫市场化运营模式，进一步提高城市的整洁度和舒适度。坚持文明创建行动常态化，不断激发群众积极性、提高群众参与度，努力在全社会形成“城市管理，人人有责”的浓厚氛围。</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0" w:type="dxa"/>
            <w:noWrap w:val="0"/>
            <w:vAlign w:val="center"/>
          </w:tcPr>
          <w:p>
            <w:pPr>
              <w:widowControl w:val="0"/>
              <w:spacing w:line="400" w:lineRule="exact"/>
              <w:jc w:val="center"/>
              <w:rPr>
                <w:rFonts w:ascii="Times New Roman" w:hAnsi="Times New Roman" w:eastAsia="仿宋_GB2312" w:cs="Times New Roman"/>
                <w:b/>
                <w:bCs/>
              </w:rPr>
            </w:pPr>
            <w:r>
              <w:rPr>
                <w:rFonts w:ascii="Times New Roman" w:hAnsi="Times New Roman" w:eastAsia="仿宋_GB2312" w:cs="Times New Roman"/>
                <w:b/>
                <w:bCs/>
              </w:rPr>
              <w:t>专栏7-1 城市品质和管理提升工程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40" w:type="dxa"/>
            <w:noWrap w:val="0"/>
            <w:vAlign w:val="center"/>
          </w:tcPr>
          <w:p>
            <w:pPr>
              <w:widowControl w:val="0"/>
              <w:spacing w:line="400" w:lineRule="exact"/>
              <w:ind w:firstLine="420" w:firstLineChars="200"/>
              <w:jc w:val="both"/>
              <w:rPr>
                <w:rFonts w:ascii="Times New Roman" w:hAnsi="Times New Roman" w:eastAsia="仿宋_GB2312" w:cs="Times New Roman"/>
                <w:b/>
                <w:bCs/>
              </w:rPr>
            </w:pPr>
            <w:r>
              <w:rPr>
                <w:rFonts w:ascii="Times New Roman" w:hAnsi="Times New Roman" w:eastAsia="仿宋_GB2312" w:cs="Times New Roman"/>
                <w:b/>
                <w:bCs/>
              </w:rPr>
              <w:t>老旧小区改造工程：</w:t>
            </w:r>
            <w:r>
              <w:rPr>
                <w:rFonts w:ascii="Times New Roman" w:hAnsi="Times New Roman" w:eastAsia="仿宋_GB2312" w:cs="Times New Roman"/>
              </w:rPr>
              <w:t>逐步推进大王庙片、黄思湾片、南岸小区、工矿小区、澄月片、枣子山小区、磁湖小区、冶钢小区、京华路小区、陈家湾三中片、叶家塘小区、五庙嘴小区、沿湖路片、中窑片、八卦嘴小区、朱家嘴小区、八泉小区、十五冶花园片、胡家湾新村小区、胡家湾西站路片小区、太子湾片、桃源村片、新建区片、马家嘴片等24个老旧小区改造，完善小区内外道路、雨污水管网、绿化、照明、围墙、垃圾分类收储等基础设施，修建小区无障碍、便民等公共服务设施，对有条件的房屋加装电梯，配建停车设施等。</w:t>
            </w:r>
          </w:p>
          <w:p>
            <w:pPr>
              <w:widowControl w:val="0"/>
              <w:spacing w:line="400" w:lineRule="exact"/>
              <w:ind w:firstLine="420" w:firstLineChars="200"/>
              <w:rPr>
                <w:rFonts w:ascii="Times New Roman" w:hAnsi="Times New Roman" w:eastAsia="仿宋_GB2312" w:cs="Times New Roman"/>
              </w:rPr>
            </w:pPr>
            <w:r>
              <w:rPr>
                <w:rFonts w:ascii="Times New Roman" w:hAnsi="Times New Roman" w:eastAsia="仿宋_GB2312" w:cs="Times New Roman"/>
                <w:b/>
                <w:bCs/>
              </w:rPr>
              <w:t>城市管理提升工程：</w:t>
            </w:r>
            <w:r>
              <w:rPr>
                <w:rFonts w:ascii="Times New Roman" w:hAnsi="Times New Roman" w:eastAsia="仿宋_GB2312" w:cs="Times New Roman"/>
              </w:rPr>
              <w:t>扎实推进城区排洪港及排水管网改造工程、市政道路设施改造工程、污水管网改造及黑臭水体整治工程、城市生活垃圾分类收集转运一体化工程、城市公园绿地建设工程、公共智慧停车场建设工程、城市管理智慧化工程。</w:t>
            </w:r>
          </w:p>
        </w:tc>
      </w:tr>
    </w:tbl>
    <w:p>
      <w:pPr>
        <w:widowControl w:val="0"/>
        <w:spacing w:before="240" w:after="60" w:line="560" w:lineRule="exact"/>
        <w:jc w:val="center"/>
        <w:outlineLvl w:val="1"/>
        <w:rPr>
          <w:rFonts w:ascii="Times New Roman" w:hAnsi="Times New Roman" w:eastAsia="楷体_GB2312" w:cs="Times New Roman"/>
          <w:b/>
          <w:bCs/>
          <w:sz w:val="32"/>
          <w:szCs w:val="32"/>
        </w:rPr>
      </w:pPr>
      <w:bookmarkStart w:id="131" w:name="_Toc16369"/>
      <w:r>
        <w:rPr>
          <w:rFonts w:ascii="Times New Roman" w:hAnsi="Times New Roman" w:eastAsia="楷体_GB2312" w:cs="Times New Roman"/>
          <w:b/>
          <w:bCs/>
          <w:sz w:val="32"/>
          <w:szCs w:val="32"/>
        </w:rPr>
        <w:t>第二节  完善城乡基础设施</w:t>
      </w:r>
      <w:bookmarkEnd w:id="131"/>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按照适度超前、突出优势、补齐短板的原则，</w:t>
      </w:r>
      <w:r>
        <w:rPr>
          <w:rFonts w:ascii="Times New Roman" w:hAnsi="Times New Roman" w:eastAsia="仿宋_GB2312" w:cs="Times New Roman"/>
          <w:snapToGrid w:val="0"/>
          <w:sz w:val="32"/>
          <w:szCs w:val="32"/>
        </w:rPr>
        <w:t>推进城乡基础设施一体化，加快构建系统完备、高效实用、智能绿色、安全可靠的现代化基础设施体系。</w:t>
      </w:r>
    </w:p>
    <w:p>
      <w:pPr>
        <w:pStyle w:val="4"/>
        <w:keepNext w:val="0"/>
        <w:keepLines w:val="0"/>
        <w:widowControl w:val="0"/>
        <w:spacing w:before="0" w:after="0" w:line="560" w:lineRule="exact"/>
        <w:ind w:firstLine="640" w:firstLineChars="200"/>
        <w:jc w:val="both"/>
        <w:rPr>
          <w:rFonts w:ascii="Times New Roman" w:hAnsi="Times New Roman" w:eastAsia="黑体" w:cs="Times New Roman"/>
          <w:b w:val="0"/>
          <w:bCs w:val="0"/>
          <w:lang w:val="zh-CN"/>
        </w:rPr>
      </w:pPr>
      <w:bookmarkStart w:id="132" w:name="_Toc26913"/>
      <w:bookmarkStart w:id="133" w:name="_Toc54081265"/>
      <w:bookmarkStart w:id="134" w:name="_Toc53743452"/>
      <w:bookmarkStart w:id="135" w:name="_Toc55555961"/>
      <w:r>
        <w:rPr>
          <w:rFonts w:ascii="Times New Roman" w:hAnsi="Times New Roman" w:eastAsia="黑体" w:cs="Times New Roman"/>
          <w:b w:val="0"/>
          <w:bCs w:val="0"/>
          <w:lang w:val="zh-CN"/>
        </w:rPr>
        <w:t>一、优化城市交通网络</w:t>
      </w:r>
      <w:bookmarkEnd w:id="132"/>
      <w:bookmarkEnd w:id="133"/>
      <w:bookmarkEnd w:id="134"/>
      <w:bookmarkEnd w:id="135"/>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完善城市道路交通体系，加快构建“三横二纵”交通骨架，“三横”即沿湖路、颐阳路、大棋路，“二纵”即黄石大道</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河西大道、沿江大道</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沿山路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张志和大道。加快构建城区快速路网，积极对接市级交通规划，主动服务有轨电车、沿江大道、沿山大道等重大交通基础设施建设，推进张志和大道与沿山大道连通，实施黄石大道冶钢段、颐阳路陈家湾段道路拓宽工程。推进李家坊立交、陈家湾立交、颐阳路广场路路口及沿湖路八卦嘴路口过街天桥等工程，加大断头路、次干路、微循环路及背街小巷道路建设，打通城区内循环，为市民出行创造便捷畅通的交通环境。推进园区（镇区）干道建设、村组道路建设、河口镇“四好农村路”建设、张志和物流主干道建设等工程加快实施。推进黄金山旅游环线道路、西塞山风景区旅游公路改造提升。实施道路刷黑改造工程，实现城区所有道路从“硬化”到“黑化”再到“美化”的品质提升。加快城市步道系统、自行车专用道、智慧停车场建设，在繁华商业区有序建设地下交通系统，提升城区道路通畅水平。新建环磁湖绿道等沿江、环湖亲水绿道、廊道，推动城区慢行系统串点成线、连线成片。</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0" w:type="dxa"/>
            <w:noWrap w:val="0"/>
            <w:vAlign w:val="center"/>
          </w:tcPr>
          <w:p>
            <w:pPr>
              <w:widowControl w:val="0"/>
              <w:spacing w:line="400" w:lineRule="exact"/>
              <w:jc w:val="center"/>
              <w:rPr>
                <w:rFonts w:ascii="Times New Roman" w:hAnsi="Times New Roman" w:eastAsia="仿宋_GB2312" w:cs="Times New Roman"/>
              </w:rPr>
            </w:pPr>
            <w:r>
              <w:rPr>
                <w:rFonts w:ascii="Times New Roman" w:hAnsi="Times New Roman" w:eastAsia="仿宋_GB2312" w:cs="Times New Roman"/>
                <w:b/>
                <w:bCs/>
              </w:rPr>
              <w:t>专栏7-2 重点路网建设工程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60" w:type="dxa"/>
            <w:noWrap w:val="0"/>
            <w:vAlign w:val="center"/>
          </w:tcPr>
          <w:p>
            <w:pPr>
              <w:widowControl w:val="0"/>
              <w:spacing w:line="360" w:lineRule="exact"/>
              <w:ind w:firstLine="420" w:firstLineChars="200"/>
              <w:rPr>
                <w:rFonts w:ascii="Times New Roman" w:hAnsi="Times New Roman" w:eastAsia="仿宋_GB2312" w:cs="Times New Roman"/>
                <w:b/>
                <w:bCs/>
              </w:rPr>
            </w:pPr>
            <w:r>
              <w:rPr>
                <w:rFonts w:ascii="Times New Roman" w:hAnsi="Times New Roman" w:eastAsia="仿宋_GB2312" w:cs="Times New Roman"/>
                <w:b/>
                <w:bCs/>
              </w:rPr>
              <w:t>道路改造工程：</w:t>
            </w:r>
            <w:r>
              <w:rPr>
                <w:rFonts w:ascii="Times New Roman" w:hAnsi="Times New Roman" w:eastAsia="仿宋_GB2312" w:cs="Times New Roman"/>
              </w:rPr>
              <w:t>实施27条城市微循环道路改造工程、沿湖路改造工程、陈家湾高架桥互通工程、西塞山区人行天桥建设工程、枣子山路改造工程等道路改造工程。</w:t>
            </w:r>
          </w:p>
          <w:p>
            <w:pPr>
              <w:widowControl w:val="0"/>
              <w:spacing w:line="360" w:lineRule="exact"/>
              <w:ind w:firstLine="420" w:firstLineChars="200"/>
              <w:rPr>
                <w:rFonts w:ascii="Times New Roman" w:hAnsi="Times New Roman" w:eastAsia="仿宋_GB2312" w:cs="Times New Roman"/>
                <w:b/>
                <w:bCs/>
              </w:rPr>
            </w:pPr>
            <w:r>
              <w:rPr>
                <w:rFonts w:ascii="Times New Roman" w:hAnsi="Times New Roman" w:eastAsia="仿宋_GB2312" w:cs="Times New Roman"/>
                <w:b/>
                <w:bCs/>
              </w:rPr>
              <w:t>隧道建设工程：</w:t>
            </w:r>
            <w:r>
              <w:rPr>
                <w:rFonts w:ascii="Times New Roman" w:hAnsi="Times New Roman" w:eastAsia="仿宋_GB2312" w:cs="Times New Roman"/>
              </w:rPr>
              <w:t>实施黄思湾隧道复线、中窑湾、太子湾、牧羊湖等9个隧道工程。</w:t>
            </w:r>
          </w:p>
          <w:p>
            <w:pPr>
              <w:widowControl w:val="0"/>
              <w:spacing w:line="360" w:lineRule="exact"/>
              <w:ind w:firstLine="420" w:firstLineChars="200"/>
              <w:rPr>
                <w:rFonts w:ascii="Times New Roman" w:hAnsi="Times New Roman" w:eastAsia="仿宋_GB2312" w:cs="Times New Roman"/>
                <w:b/>
                <w:bCs/>
              </w:rPr>
            </w:pPr>
            <w:r>
              <w:rPr>
                <w:rFonts w:ascii="Times New Roman" w:hAnsi="Times New Roman" w:eastAsia="仿宋_GB2312" w:cs="Times New Roman"/>
                <w:b/>
                <w:bCs/>
              </w:rPr>
              <w:t>有轨电车建设工程：</w:t>
            </w:r>
            <w:r>
              <w:rPr>
                <w:rFonts w:ascii="Times New Roman" w:hAnsi="Times New Roman" w:eastAsia="仿宋_GB2312" w:cs="Times New Roman"/>
              </w:rPr>
              <w:t>启动李家坊轻轨1号线、沿湖路轻轨2号线建设工程。</w:t>
            </w:r>
          </w:p>
        </w:tc>
      </w:tr>
    </w:tbl>
    <w:p>
      <w:pPr>
        <w:pStyle w:val="4"/>
        <w:keepNext w:val="0"/>
        <w:keepLines w:val="0"/>
        <w:widowControl w:val="0"/>
        <w:spacing w:before="0" w:after="0" w:line="560" w:lineRule="exact"/>
        <w:ind w:firstLine="640" w:firstLineChars="200"/>
        <w:jc w:val="both"/>
        <w:rPr>
          <w:rFonts w:ascii="Times New Roman" w:hAnsi="Times New Roman" w:eastAsia="黑体" w:cs="Times New Roman"/>
          <w:b w:val="0"/>
          <w:bCs w:val="0"/>
          <w:lang w:val="zh-CN"/>
        </w:rPr>
      </w:pPr>
      <w:bookmarkStart w:id="136" w:name="_Toc53743453"/>
      <w:bookmarkStart w:id="137" w:name="_Toc55555962"/>
      <w:bookmarkStart w:id="138" w:name="_Toc54081266"/>
      <w:bookmarkStart w:id="139" w:name="_Toc31249"/>
      <w:r>
        <w:rPr>
          <w:rFonts w:ascii="Times New Roman" w:hAnsi="Times New Roman" w:eastAsia="黑体" w:cs="Times New Roman"/>
          <w:b w:val="0"/>
          <w:bCs w:val="0"/>
          <w:lang w:val="zh-CN"/>
        </w:rPr>
        <w:t>二、完善水利保障体系</w:t>
      </w:r>
      <w:bookmarkEnd w:id="136"/>
      <w:bookmarkEnd w:id="137"/>
      <w:bookmarkEnd w:id="138"/>
      <w:bookmarkEnd w:id="139"/>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构建完善的“一江两湖两库三堤两站”防汛抗旱体系，提升供水安全保障能力，加大水污染防治和水生态保护与修复，推进水利治理体系和治理能力现代化。加大水利补短板工程建设，推进西塞山区城区沿江泵站抽排能力提升、城区排洪港山洪灾害维修治理、夏浴湖（王家湖）截流渠加固修复等重点水利基础设施除险加固和能力提升工程建设，基本建成较完善的综合防洪抗旱减灾体系。积极推进资源水利工程，统筹水资源开发、利用、治理、配置、节约和保护，推进水系连通和通江涵闸综合治理工程，基本建成城乡水资源合理配置和高效利用体系。大力实施民生水利工程，推进西塞山区山洪灾害应急能力提升工程、西塞山区水利基础设施信息化平台建设工程、农田高效节水灌溉工程，基本建成较为完善的管理和运行保障体系。同步打造生态水利工程，推进西塞山区长江经济带生态保护修复工程、夏浴湖流域综合治理工程、河湖小流域水土保持生态治理工程。</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7" w:type="dxa"/>
            <w:noWrap w:val="0"/>
            <w:vAlign w:val="center"/>
          </w:tcPr>
          <w:p>
            <w:pPr>
              <w:widowControl w:val="0"/>
              <w:spacing w:line="400" w:lineRule="exact"/>
              <w:jc w:val="center"/>
              <w:rPr>
                <w:rFonts w:ascii="Times New Roman" w:hAnsi="Times New Roman" w:eastAsia="仿宋_GB2312" w:cs="Times New Roman"/>
                <w:b/>
                <w:bCs/>
              </w:rPr>
            </w:pPr>
            <w:r>
              <w:rPr>
                <w:rFonts w:ascii="Times New Roman" w:hAnsi="Times New Roman" w:eastAsia="仿宋_GB2312" w:cs="Times New Roman"/>
                <w:b/>
                <w:bCs/>
              </w:rPr>
              <w:t>专栏7-3 完善水利保障体系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37" w:type="dxa"/>
            <w:noWrap w:val="0"/>
            <w:vAlign w:val="center"/>
          </w:tcPr>
          <w:p>
            <w:pPr>
              <w:widowControl w:val="0"/>
              <w:spacing w:line="400" w:lineRule="exact"/>
              <w:ind w:firstLine="420" w:firstLineChars="200"/>
              <w:rPr>
                <w:rFonts w:ascii="Times New Roman" w:hAnsi="Times New Roman" w:eastAsia="仿宋_GB2312" w:cs="Times New Roman"/>
                <w:b/>
                <w:bCs/>
              </w:rPr>
            </w:pPr>
            <w:r>
              <w:rPr>
                <w:rFonts w:ascii="Times New Roman" w:hAnsi="Times New Roman" w:eastAsia="仿宋_GB2312" w:cs="Times New Roman"/>
                <w:b/>
                <w:bCs/>
              </w:rPr>
              <w:t>一江两湖两库三堤两站：“一江”</w:t>
            </w:r>
            <w:r>
              <w:rPr>
                <w:rFonts w:ascii="Times New Roman" w:hAnsi="Times New Roman" w:eastAsia="仿宋_GB2312" w:cs="Times New Roman"/>
              </w:rPr>
              <w:t>即长江；</w:t>
            </w:r>
            <w:r>
              <w:rPr>
                <w:rFonts w:ascii="Times New Roman" w:hAnsi="Times New Roman" w:eastAsia="仿宋_GB2312" w:cs="Times New Roman"/>
                <w:b/>
                <w:bCs/>
              </w:rPr>
              <w:t>“两湖”</w:t>
            </w:r>
            <w:r>
              <w:rPr>
                <w:rFonts w:ascii="Times New Roman" w:hAnsi="Times New Roman" w:eastAsia="仿宋_GB2312" w:cs="Times New Roman"/>
              </w:rPr>
              <w:t>即磁湖、夏浴湖；</w:t>
            </w:r>
            <w:r>
              <w:rPr>
                <w:rFonts w:ascii="Times New Roman" w:hAnsi="Times New Roman" w:eastAsia="仿宋_GB2312" w:cs="Times New Roman"/>
                <w:b/>
                <w:bCs/>
              </w:rPr>
              <w:t>“两库”</w:t>
            </w:r>
            <w:r>
              <w:rPr>
                <w:rFonts w:ascii="Times New Roman" w:hAnsi="Times New Roman" w:eastAsia="仿宋_GB2312" w:cs="Times New Roman"/>
              </w:rPr>
              <w:t>即黄家湾水库、凉山水库；</w:t>
            </w:r>
            <w:r>
              <w:rPr>
                <w:rFonts w:ascii="Times New Roman" w:hAnsi="Times New Roman" w:eastAsia="仿宋_GB2312" w:cs="Times New Roman"/>
                <w:b/>
                <w:bCs/>
              </w:rPr>
              <w:t>“三堤”</w:t>
            </w:r>
            <w:r>
              <w:rPr>
                <w:rFonts w:ascii="Times New Roman" w:hAnsi="Times New Roman" w:eastAsia="仿宋_GB2312" w:cs="Times New Roman"/>
              </w:rPr>
              <w:t>即长江干堤、栗子湖堤、冷水湖堤；</w:t>
            </w:r>
            <w:r>
              <w:rPr>
                <w:rFonts w:ascii="Times New Roman" w:hAnsi="Times New Roman" w:eastAsia="仿宋_GB2312" w:cs="Times New Roman"/>
                <w:b/>
                <w:bCs/>
              </w:rPr>
              <w:t>“两站”</w:t>
            </w:r>
            <w:r>
              <w:rPr>
                <w:rFonts w:ascii="Times New Roman" w:hAnsi="Times New Roman" w:eastAsia="仿宋_GB2312" w:cs="Times New Roman"/>
              </w:rPr>
              <w:t>即王家湾泵站、农发泵站（西塞片区通江排涝泵站）。</w:t>
            </w:r>
          </w:p>
        </w:tc>
      </w:tr>
    </w:tbl>
    <w:p>
      <w:pPr>
        <w:pStyle w:val="4"/>
        <w:keepNext w:val="0"/>
        <w:keepLines w:val="0"/>
        <w:widowControl w:val="0"/>
        <w:spacing w:before="0" w:after="0" w:line="560" w:lineRule="exact"/>
        <w:ind w:firstLine="640" w:firstLineChars="200"/>
        <w:jc w:val="both"/>
        <w:rPr>
          <w:rFonts w:ascii="Times New Roman" w:hAnsi="Times New Roman" w:eastAsia="黑体" w:cs="Times New Roman"/>
          <w:b w:val="0"/>
          <w:bCs w:val="0"/>
          <w:lang w:val="zh-CN"/>
        </w:rPr>
      </w:pPr>
      <w:bookmarkStart w:id="140" w:name="_Toc53743454"/>
      <w:bookmarkStart w:id="141" w:name="_Toc55555963"/>
      <w:bookmarkStart w:id="142" w:name="_Toc1879"/>
      <w:bookmarkStart w:id="143" w:name="_Toc54081267"/>
      <w:r>
        <w:rPr>
          <w:rFonts w:ascii="Times New Roman" w:hAnsi="Times New Roman" w:eastAsia="黑体" w:cs="Times New Roman"/>
          <w:b w:val="0"/>
          <w:bCs w:val="0"/>
          <w:lang w:val="zh-CN"/>
        </w:rPr>
        <w:t>三、构建现代能源体系</w:t>
      </w:r>
      <w:bookmarkEnd w:id="140"/>
      <w:bookmarkEnd w:id="141"/>
      <w:bookmarkEnd w:id="142"/>
      <w:bookmarkEnd w:id="143"/>
    </w:p>
    <w:p>
      <w:pPr>
        <w:widowControl w:val="0"/>
        <w:spacing w:line="560" w:lineRule="exact"/>
        <w:ind w:firstLine="624" w:firstLineChars="200"/>
        <w:jc w:val="both"/>
        <w:rPr>
          <w:rFonts w:ascii="Times New Roman" w:hAnsi="Times New Roman" w:eastAsia="仿宋_GB2312" w:cs="Times New Roman"/>
          <w:spacing w:val="-4"/>
          <w:sz w:val="32"/>
          <w:szCs w:val="32"/>
        </w:rPr>
      </w:pPr>
      <w:r>
        <w:rPr>
          <w:rFonts w:ascii="Times New Roman" w:hAnsi="Times New Roman" w:eastAsia="仿宋_GB2312" w:cs="Times New Roman"/>
          <w:spacing w:val="-4"/>
          <w:sz w:val="32"/>
          <w:szCs w:val="32"/>
        </w:rPr>
        <w:t>坚持节约优先、绿色低碳的原则，稳定能源供给，大力发展新能源，构建清洁低碳、安全高效的现代能源保障体系。完善电力基础设施网络，推进西塞山区电网改造工程、园区电力设施升级改造工程，提高供电质量和供电可靠性。控制煤炭能源消耗总量，推动园区实施“清洁能源替代”，鼓励工业燃煤企业优先使用天然气、煤制气或生物质成型燃料。推进新能源和可再生能源开发利用，推动以太阳能、风能、水能、生物质能、地热能为代表的新能源产业发展。加快推进天然气利用工程建设，推动支线干道天然气管道建设，城区气化率、园区通气率实现“双百”。实施能源新基建，利用物联网5G技术发展智能化现代综合能源服务站，大力推广微电网、智慧能源，大力支持以综合能源站、智能电网、电动汽车充电、大规模储能、智慧用能与增值服务等新领域、新技术的科技创新项目转换。广泛开展绿色能源行动，加大对节能工业设备、绿色照明、节能家电、新能源汽车等节能绿色产品进行宣传和推广。</w:t>
      </w:r>
      <w:r>
        <w:rPr>
          <w:rFonts w:ascii="Times New Roman" w:hAnsi="Times New Roman" w:eastAsia="仿宋_GB2312" w:cs="Times New Roman"/>
          <w:snapToGrid w:val="0"/>
          <w:spacing w:val="-4"/>
          <w:sz w:val="32"/>
          <w:szCs w:val="32"/>
        </w:rPr>
        <w:t>推进供热暖居、气化园区等建设，打造西塞山区河口新区现代综合能源示范区。</w:t>
      </w:r>
    </w:p>
    <w:p>
      <w:pPr>
        <w:pStyle w:val="4"/>
        <w:keepNext w:val="0"/>
        <w:keepLines w:val="0"/>
        <w:widowControl w:val="0"/>
        <w:spacing w:before="0" w:after="0" w:line="560" w:lineRule="exact"/>
        <w:ind w:firstLine="640" w:firstLineChars="200"/>
        <w:jc w:val="both"/>
        <w:rPr>
          <w:rFonts w:hint="eastAsia" w:ascii="Times New Roman" w:hAnsi="Times New Roman" w:eastAsia="黑体" w:cs="Times New Roman"/>
          <w:b w:val="0"/>
          <w:bCs w:val="0"/>
          <w:lang w:val="zh-CN"/>
        </w:rPr>
      </w:pPr>
      <w:r>
        <w:rPr>
          <w:rFonts w:hint="eastAsia" w:ascii="Times New Roman" w:hAnsi="Times New Roman" w:eastAsia="黑体" w:cs="Times New Roman"/>
          <w:b w:val="0"/>
          <w:bCs w:val="0"/>
          <w:lang w:val="zh-CN"/>
        </w:rPr>
        <w:t>四、加快新型基础设施建设</w:t>
      </w:r>
    </w:p>
    <w:p>
      <w:pPr>
        <w:adjustRightInd w:val="0"/>
        <w:snapToGrid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napToGrid w:val="0"/>
          <w:sz w:val="32"/>
          <w:szCs w:val="32"/>
        </w:rPr>
        <w:t>加快5G网络等新型基础设施建设，推动智慧城区、智慧园区建设和应用。</w:t>
      </w:r>
      <w:r>
        <w:rPr>
          <w:rFonts w:ascii="Times New Roman" w:hAnsi="Times New Roman" w:eastAsia="仿宋_GB2312" w:cs="Times New Roman"/>
          <w:sz w:val="32"/>
          <w:szCs w:val="32"/>
        </w:rPr>
        <w:t>优先推进重要公共场所、重点产业园区、景区景点等重点区域5G基站和配套网络建设，到2025年实现全区5G全域覆盖。打造“5G+工业互联网”服务平台，推进骨干网、城域网扩容，移动通信网络、固定宽带网络接入能力均达到1Gbps，IPv6活跃用户占互联网用户达到100%。打造新技术基础设施。系统性布局宽带、移动互联网、数据中心、人工智能平台以及电子证照、电子档案等平台设施建设，深入实施人工智能发展行动，探索“5G+AI"深度应用。有序部署建设区块链平台，在金融、物联网、智能制造、不动产、智慧城市等领域培育区块链典型应用。建设新融合基础设施。重点建设新能源汽车充电基础设施等新型智慧城市基础设施。推进电子信息产业园建设，推动全区电子智能制造产业集群化、全产业链发展。</w:t>
      </w:r>
    </w:p>
    <w:p>
      <w:pPr>
        <w:widowControl w:val="0"/>
        <w:spacing w:before="240" w:after="60" w:line="560" w:lineRule="exact"/>
        <w:jc w:val="center"/>
        <w:outlineLvl w:val="1"/>
        <w:rPr>
          <w:rFonts w:hint="eastAsia" w:ascii="Times New Roman" w:hAnsi="Times New Roman" w:eastAsia="楷体_GB2312" w:cs="Times New Roman"/>
          <w:b/>
          <w:bCs/>
          <w:sz w:val="32"/>
          <w:szCs w:val="32"/>
        </w:rPr>
      </w:pPr>
      <w:r>
        <w:rPr>
          <w:rFonts w:hint="eastAsia" w:ascii="Times New Roman" w:hAnsi="Times New Roman" w:eastAsia="楷体_GB2312" w:cs="Times New Roman"/>
          <w:b/>
          <w:bCs/>
          <w:sz w:val="32"/>
          <w:szCs w:val="32"/>
        </w:rPr>
        <w:t>第三节 推动智慧城区建设</w:t>
      </w:r>
    </w:p>
    <w:p>
      <w:pPr>
        <w:ind w:firstLine="624" w:firstLineChars="200"/>
        <w:rPr>
          <w:rFonts w:hint="eastAsia"/>
        </w:rPr>
      </w:pPr>
      <w:r>
        <w:rPr>
          <w:rFonts w:hint="eastAsia" w:ascii="Times New Roman" w:hAnsi="Times New Roman" w:eastAsia="仿宋_GB2312" w:cs="Times New Roman"/>
          <w:spacing w:val="-4"/>
          <w:sz w:val="32"/>
          <w:szCs w:val="32"/>
        </w:rPr>
        <w:t>把握好新一轮信息技术发展窗口期，深入落实网络强国、数字中国、智慧社会、新基建等重大战略部署，以大数据为基础资源和创新引擎，推动西塞山区大数据发展和智慧城区建设。</w:t>
      </w:r>
    </w:p>
    <w:p>
      <w:pPr>
        <w:pStyle w:val="4"/>
        <w:keepNext w:val="0"/>
        <w:keepLines w:val="0"/>
        <w:widowControl w:val="0"/>
        <w:spacing w:before="0" w:after="0" w:line="560" w:lineRule="exact"/>
        <w:ind w:firstLine="640" w:firstLineChars="200"/>
        <w:jc w:val="both"/>
        <w:rPr>
          <w:rFonts w:ascii="Times New Roman" w:hAnsi="Times New Roman" w:eastAsia="黑体" w:cs="Times New Roman"/>
          <w:b w:val="0"/>
          <w:bCs w:val="0"/>
          <w:lang w:val="zh-CN"/>
        </w:rPr>
      </w:pPr>
      <w:r>
        <w:rPr>
          <w:rFonts w:hint="eastAsia" w:ascii="Times New Roman" w:hAnsi="Times New Roman" w:eastAsia="黑体" w:cs="Times New Roman"/>
          <w:b w:val="0"/>
          <w:bCs w:val="0"/>
          <w:lang w:val="zh-CN"/>
        </w:rPr>
        <w:t>一、完善大数据能力平台</w:t>
      </w:r>
    </w:p>
    <w:p>
      <w:pPr>
        <w:widowControl w:val="0"/>
        <w:spacing w:line="560" w:lineRule="exact"/>
        <w:ind w:firstLine="624" w:firstLineChars="200"/>
        <w:jc w:val="both"/>
        <w:rPr>
          <w:rFonts w:ascii="Times New Roman" w:hAnsi="Times New Roman" w:eastAsia="仿宋_GB2312" w:cs="Times New Roman"/>
          <w:spacing w:val="-4"/>
          <w:sz w:val="32"/>
          <w:szCs w:val="32"/>
        </w:rPr>
      </w:pPr>
      <w:r>
        <w:rPr>
          <w:rFonts w:hint="eastAsia" w:ascii="Times New Roman" w:hAnsi="Times New Roman" w:eastAsia="仿宋_GB2312" w:cs="Times New Roman"/>
          <w:spacing w:val="-4"/>
          <w:sz w:val="32"/>
          <w:szCs w:val="32"/>
        </w:rPr>
        <w:t>强化数据资源系统梳理，严格按照市级安排分步制定和完善政务数据资源目录编制规范。推动区级政务数据资源向市云计算大数据中心归集汇聚，助力市级基础数据、主题数据、业务数据、社会化数据等多数据融合的“数据湖”建设。优化完善数据共享交换流程与规则，加强与横向和纵向的对接流动，提升数据共享交换水平。推进政务信息资源共享平台的功能扩展和优化，与省、市政务服务平台深度融合，开发建设内容丰富、形式多样的数据服务。</w:t>
      </w:r>
    </w:p>
    <w:p>
      <w:pPr>
        <w:pStyle w:val="4"/>
        <w:keepNext w:val="0"/>
        <w:keepLines w:val="0"/>
        <w:widowControl w:val="0"/>
        <w:spacing w:before="0" w:after="0" w:line="560" w:lineRule="exact"/>
        <w:ind w:firstLine="640" w:firstLineChars="200"/>
        <w:jc w:val="both"/>
        <w:rPr>
          <w:rFonts w:hint="eastAsia" w:ascii="Times New Roman" w:hAnsi="Times New Roman" w:eastAsia="黑体" w:cs="Times New Roman"/>
          <w:b w:val="0"/>
          <w:bCs w:val="0"/>
          <w:lang w:val="zh-CN"/>
        </w:rPr>
      </w:pPr>
      <w:r>
        <w:rPr>
          <w:rFonts w:hint="eastAsia" w:ascii="Times New Roman" w:hAnsi="Times New Roman" w:eastAsia="黑体" w:cs="Times New Roman"/>
          <w:b w:val="0"/>
          <w:bCs w:val="0"/>
          <w:lang w:val="zh-CN"/>
        </w:rPr>
        <w:t>二、推动各领域智慧建设</w:t>
      </w:r>
    </w:p>
    <w:p>
      <w:pPr>
        <w:widowControl w:val="0"/>
        <w:spacing w:line="560" w:lineRule="exact"/>
        <w:ind w:firstLine="624" w:firstLineChars="200"/>
        <w:jc w:val="both"/>
        <w:rPr>
          <w:rFonts w:hint="eastAsia" w:ascii="Times New Roman" w:hAnsi="Times New Roman" w:eastAsia="仿宋_GB2312" w:cs="Times New Roman"/>
          <w:spacing w:val="-4"/>
          <w:sz w:val="32"/>
          <w:szCs w:val="32"/>
        </w:rPr>
      </w:pPr>
      <w:r>
        <w:rPr>
          <w:rFonts w:hint="eastAsia" w:ascii="Times New Roman" w:hAnsi="Times New Roman" w:eastAsia="仿宋_GB2312" w:cs="Times New Roman"/>
          <w:spacing w:val="-4"/>
          <w:sz w:val="32"/>
          <w:szCs w:val="32"/>
        </w:rPr>
        <w:t>依托市级应急指挥“一张图”信息资源库，建设智慧应急平台枢纽，加大数据、人工智能、云计算等数字技术在疫情监测、病毒溯源、社区防控、监测隔离等环节深度应用，全力响应我市重大疫情信息平台建设，充分对接电子政府、公安、民政、人社、医保等信息资源，建立跨部门密切配合、数据共享机制。依托市级对互联网</w:t>
      </w:r>
      <w:r>
        <w:rPr>
          <w:rFonts w:ascii="Times New Roman" w:hAnsi="Times New Roman" w:eastAsia="仿宋_GB2312" w:cs="Times New Roman"/>
          <w:spacing w:val="-4"/>
          <w:sz w:val="32"/>
          <w:szCs w:val="32"/>
        </w:rPr>
        <w:t>+医疗健康化改造，城市交通智慧化改造、工业互联网二级节点标识解析应用平台项目建设，完善医疗、政务、交通等各领域的数据共享和业务协同体系。</w:t>
      </w:r>
      <w:r>
        <w:rPr>
          <w:rFonts w:hint="eastAsia" w:ascii="Times New Roman" w:hAnsi="Times New Roman" w:eastAsia="仿宋_GB2312" w:cs="Times New Roman"/>
          <w:spacing w:val="-4"/>
          <w:sz w:val="32"/>
          <w:szCs w:val="32"/>
        </w:rPr>
        <w:t>主动对接市级重要工程建设，加快推动人工智能、工业互联网、区块链等相关数字产业的发展，完成重要领域的数字化转型。大力推进公共安全、精准脱贫、生态保护等方面的数字化应用，依托市级构建的创新驱动的政务新机制、新平台、新渠道，推动政府治理模式由分散向整体转变、由管理向服务转变、由单向被动向双向互动转变、由单部门办理向多部门协同转变，最终实现智慧化治理。</w:t>
      </w:r>
    </w:p>
    <w:p>
      <w:pPr>
        <w:widowControl w:val="0"/>
        <w:spacing w:line="560" w:lineRule="exact"/>
        <w:ind w:firstLine="624" w:firstLineChars="200"/>
        <w:jc w:val="both"/>
        <w:rPr>
          <w:rFonts w:hint="eastAsia" w:ascii="Times New Roman" w:hAnsi="Times New Roman" w:eastAsia="仿宋_GB2312" w:cs="Times New Roman"/>
          <w:spacing w:val="-4"/>
          <w:sz w:val="32"/>
          <w:szCs w:val="32"/>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820" w:type="dxa"/>
            <w:noWrap w:val="0"/>
            <w:vAlign w:val="center"/>
          </w:tcPr>
          <w:p>
            <w:pPr>
              <w:widowControl w:val="0"/>
              <w:spacing w:line="400" w:lineRule="exact"/>
              <w:jc w:val="center"/>
              <w:rPr>
                <w:rFonts w:ascii="Times New Roman" w:hAnsi="Times New Roman" w:eastAsia="仿宋_GB2312" w:cs="Times New Roman"/>
              </w:rPr>
            </w:pPr>
            <w:r>
              <w:rPr>
                <w:rFonts w:ascii="Times New Roman" w:hAnsi="Times New Roman" w:eastAsia="仿宋_GB2312" w:cs="Times New Roman"/>
                <w:b/>
                <w:bCs/>
              </w:rPr>
              <w:t>专栏7-4 “新基建”补短板强功能工程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820" w:type="dxa"/>
            <w:noWrap w:val="0"/>
            <w:vAlign w:val="center"/>
          </w:tcPr>
          <w:p>
            <w:pPr>
              <w:widowControl w:val="0"/>
              <w:spacing w:line="390" w:lineRule="exact"/>
              <w:ind w:firstLine="420" w:firstLineChars="200"/>
              <w:rPr>
                <w:rFonts w:hint="eastAsia" w:ascii="Times New Roman" w:hAnsi="Times New Roman" w:eastAsia="仿宋_GB2312" w:cs="Times New Roman"/>
              </w:rPr>
            </w:pPr>
            <w:r>
              <w:rPr>
                <w:rFonts w:hint="eastAsia" w:ascii="Times New Roman" w:hAnsi="Times New Roman" w:eastAsia="仿宋_GB2312" w:cs="Times New Roman"/>
                <w:b/>
                <w:bCs/>
              </w:rPr>
              <w:t>智慧城区建设工程：</w:t>
            </w:r>
            <w:r>
              <w:rPr>
                <w:rFonts w:hint="eastAsia" w:ascii="Times New Roman" w:hAnsi="Times New Roman" w:eastAsia="仿宋_GB2312" w:cs="Times New Roman"/>
              </w:rPr>
              <w:t>以民生优先、产城融合为原则，以云计算、信息服务、物联网等新技术为支撑，以智慧城区数据中心为基础设施，整合对接全区工业、商业、政务服务、政务监管、交通、民政、城管、公安、消防、小区等自有平台，统筹规划、分步实现环境宜居智慧化、安全防控智慧化、生活便捷智慧化、公共服务智慧化、产业智慧化转型，将智慧城区建设与智慧产业发展相融合，有步骤地推进西塞山区综合智慧城区建设。</w:t>
            </w:r>
          </w:p>
          <w:p>
            <w:pPr>
              <w:widowControl w:val="0"/>
              <w:spacing w:line="390" w:lineRule="exact"/>
              <w:ind w:firstLine="420" w:firstLineChars="200"/>
              <w:rPr>
                <w:rFonts w:ascii="Times New Roman" w:hAnsi="Times New Roman" w:eastAsia="仿宋_GB2312" w:cs="Times New Roman"/>
                <w:b/>
                <w:bCs/>
              </w:rPr>
            </w:pPr>
            <w:r>
              <w:rPr>
                <w:rFonts w:ascii="Times New Roman" w:hAnsi="Times New Roman" w:eastAsia="仿宋_GB2312" w:cs="Times New Roman"/>
                <w:b/>
                <w:bCs/>
              </w:rPr>
              <w:t>智慧园区西塞版“新基建”4新建设工程：</w:t>
            </w:r>
            <w:r>
              <w:rPr>
                <w:rFonts w:ascii="Times New Roman" w:hAnsi="Times New Roman" w:eastAsia="仿宋_GB2312" w:cs="Times New Roman"/>
              </w:rPr>
              <w:t>对标沿海高新技术工业园区，围绕新网络、新设施、新平台、新终端进行统筹布局，全力提升园区新型基础设施建设。新网络方面：全面铺开工业园区5G和宽带网络建设，利用招商引资引进无人工厂、无人生产线、无人车间项目，建设园区新型政务外网及网络安全设施；新设施方面：加大创新投入，利用科创模具研究院、新建模具钢产品检验检测中心等项目提升科技和产业创新基础设施能级，布局新建一批先进产业创新基础设施建设项目。新平台方面：利用拟新建公共技术平台项目，着力建设全要素数据资源体系，支撑工业园区治理建设全方位变革；新终端方面：加快推动商贸、交通、物流、医疗等终端基础设施智能化改造，如新建物流应急储备中心、智能充电桩、车联网和智慧道路、无人贩卖机、智能回收站等物流、零售终端建设。</w:t>
            </w:r>
          </w:p>
          <w:p>
            <w:pPr>
              <w:widowControl w:val="0"/>
              <w:spacing w:line="390" w:lineRule="exact"/>
              <w:ind w:firstLine="420" w:firstLineChars="200"/>
              <w:rPr>
                <w:rFonts w:ascii="Times New Roman" w:hAnsi="Times New Roman" w:eastAsia="仿宋_GB2312" w:cs="Times New Roman"/>
                <w:b/>
                <w:bCs/>
              </w:rPr>
            </w:pPr>
            <w:r>
              <w:rPr>
                <w:rFonts w:ascii="Times New Roman" w:hAnsi="Times New Roman" w:eastAsia="仿宋_GB2312" w:cs="Times New Roman"/>
                <w:b/>
                <w:bCs/>
              </w:rPr>
              <w:t>城市管理智慧化建设工程：</w:t>
            </w:r>
            <w:r>
              <w:rPr>
                <w:rFonts w:ascii="Times New Roman" w:hAnsi="Times New Roman" w:eastAsia="仿宋_GB2312" w:cs="Times New Roman"/>
              </w:rPr>
              <w:t>运用5G和物联网等新技术，通过建立视频监控子系统（安装2500个高清摄像头）、监督指挥中心、呼叫中心平台，开发一套集成管理软件，实现城市管理和环卫、园林、市政设施管理一体化大数据应用平台建设。将分布全区的摄像头（包括社会上的摄像头）、行政执法记录仪、执法终端、车辆定位、巡逻打卡设备等集成到城市管理监控系统，对全区城市管理、环卫、园林及市政设施维护等工作进行全面、及时掌握，并通过实时报警、呼叫系统派单，由城管队员、环卫、市政和园林维护人员及时进行处置，从而实现城市管理工作规范化、精细化。</w:t>
            </w:r>
          </w:p>
          <w:p>
            <w:pPr>
              <w:widowControl w:val="0"/>
              <w:spacing w:line="390" w:lineRule="exact"/>
              <w:ind w:firstLine="420" w:firstLineChars="200"/>
              <w:rPr>
                <w:rFonts w:ascii="Times New Roman" w:hAnsi="Times New Roman" w:eastAsia="仿宋_GB2312" w:cs="Times New Roman"/>
                <w:b/>
                <w:bCs/>
              </w:rPr>
            </w:pPr>
            <w:r>
              <w:rPr>
                <w:rFonts w:ascii="Times New Roman" w:hAnsi="Times New Roman" w:eastAsia="仿宋_GB2312" w:cs="Times New Roman"/>
                <w:b/>
                <w:bCs/>
              </w:rPr>
              <w:t>智慧城建建设工程：</w:t>
            </w:r>
            <w:r>
              <w:rPr>
                <w:rFonts w:ascii="Times New Roman" w:hAnsi="Times New Roman" w:eastAsia="仿宋_GB2312" w:cs="Times New Roman"/>
              </w:rPr>
              <w:t>运用网络技术，通过建立视频监控系统、监督指挥中心、呼叫中心平台，开发一套集成管理软件，实现全区建筑工地和市政工地的管理智能化、信息化。</w:t>
            </w:r>
          </w:p>
          <w:p>
            <w:pPr>
              <w:widowControl w:val="0"/>
              <w:spacing w:line="390" w:lineRule="exact"/>
              <w:ind w:firstLine="420" w:firstLineChars="200"/>
              <w:rPr>
                <w:rFonts w:ascii="Times New Roman" w:hAnsi="Times New Roman" w:eastAsia="仿宋_GB2312" w:cs="Times New Roman"/>
                <w:b/>
                <w:bCs/>
              </w:rPr>
            </w:pPr>
            <w:r>
              <w:rPr>
                <w:rFonts w:ascii="Times New Roman" w:hAnsi="Times New Roman" w:eastAsia="仿宋_GB2312" w:cs="Times New Roman"/>
                <w:b/>
                <w:bCs/>
              </w:rPr>
              <w:t>智慧社区建设工程：</w:t>
            </w:r>
            <w:r>
              <w:rPr>
                <w:rFonts w:ascii="Times New Roman" w:hAnsi="Times New Roman" w:eastAsia="仿宋_GB2312" w:cs="Times New Roman"/>
              </w:rPr>
              <w:t>构建智慧环境，主要涉及智慧物业管理、电子商务服务、智慧养老服务、智慧家居四个方面，集系统、结构、服务、管理为一体的高效、舒适、安全、便利、环保的居住环境。</w:t>
            </w:r>
          </w:p>
        </w:tc>
      </w:tr>
    </w:tbl>
    <w:p>
      <w:pPr>
        <w:spacing w:after="100" w:afterAutospacing="1"/>
        <w:jc w:val="center"/>
        <w:outlineLvl w:val="0"/>
        <w:rPr>
          <w:rFonts w:ascii="Times New Roman" w:hAnsi="Times New Roman" w:eastAsia="黑体" w:cs="Times New Roman"/>
          <w:spacing w:val="-10"/>
          <w:kern w:val="32"/>
          <w:sz w:val="32"/>
          <w:szCs w:val="32"/>
        </w:rPr>
      </w:pPr>
      <w:r>
        <w:rPr>
          <w:rFonts w:ascii="Times New Roman" w:hAnsi="Times New Roman" w:cs="Times New Roman"/>
        </w:rPr>
        <w:br w:type="page"/>
      </w:r>
      <w:bookmarkStart w:id="144" w:name="_Toc10315"/>
      <w:r>
        <w:rPr>
          <w:rFonts w:ascii="Times New Roman" w:hAnsi="Times New Roman" w:eastAsia="黑体" w:cs="Times New Roman"/>
          <w:spacing w:val="-10"/>
          <w:kern w:val="32"/>
          <w:sz w:val="32"/>
          <w:szCs w:val="32"/>
        </w:rPr>
        <w:t>第八章  建设“</w:t>
      </w:r>
      <w:bookmarkStart w:id="145" w:name="_Hlk60663708"/>
      <w:r>
        <w:rPr>
          <w:rFonts w:ascii="Times New Roman" w:hAnsi="Times New Roman" w:eastAsia="黑体" w:cs="Times New Roman"/>
          <w:spacing w:val="-10"/>
          <w:kern w:val="32"/>
          <w:sz w:val="32"/>
          <w:szCs w:val="32"/>
        </w:rPr>
        <w:t>磁湖·黄荆山文旅新区</w:t>
      </w:r>
      <w:bookmarkEnd w:id="145"/>
      <w:r>
        <w:rPr>
          <w:rFonts w:ascii="Times New Roman" w:hAnsi="Times New Roman" w:eastAsia="黑体" w:cs="Times New Roman"/>
          <w:spacing w:val="-10"/>
          <w:kern w:val="32"/>
          <w:sz w:val="32"/>
          <w:szCs w:val="32"/>
        </w:rPr>
        <w:t>” 打造全域文旅西塞山</w:t>
      </w:r>
      <w:bookmarkEnd w:id="144"/>
    </w:p>
    <w:p>
      <w:pPr>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围绕黄石“历史文化名城”目标，以建设“磁湖·黄荆山文旅新区”为抓手，打造全域文旅西塞山。坚持以社会主义核心价值观引领文化建设，全面统筹“两山两湖两遗产”，持续挖掘文化价值，擦亮文化品牌，推进文化旅游深度融合。</w:t>
      </w:r>
    </w:p>
    <w:p>
      <w:pPr>
        <w:widowControl w:val="0"/>
        <w:spacing w:before="240" w:after="60" w:line="560" w:lineRule="exact"/>
        <w:jc w:val="center"/>
        <w:outlineLvl w:val="1"/>
        <w:rPr>
          <w:rFonts w:ascii="Times New Roman" w:hAnsi="Times New Roman" w:eastAsia="楷体_GB2312" w:cs="Times New Roman"/>
          <w:b/>
          <w:bCs/>
          <w:sz w:val="32"/>
          <w:szCs w:val="32"/>
        </w:rPr>
      </w:pPr>
      <w:bookmarkStart w:id="146" w:name="_Toc6557"/>
      <w:r>
        <w:rPr>
          <w:rFonts w:ascii="Times New Roman" w:hAnsi="Times New Roman" w:eastAsia="楷体_GB2312" w:cs="Times New Roman"/>
          <w:b/>
          <w:bCs/>
          <w:sz w:val="32"/>
          <w:szCs w:val="32"/>
        </w:rPr>
        <w:t>第一节  打造城市中央生态公园</w:t>
      </w:r>
      <w:bookmarkEnd w:id="146"/>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充分发挥磁湖、黄荆山、西塞山等资源优势，打造磁湖南岸新城，加快把西塞山、黄荆山打造成5A级、4A级风景区，提升人民生活品质。</w:t>
      </w:r>
    </w:p>
    <w:p>
      <w:pPr>
        <w:pStyle w:val="4"/>
        <w:keepNext w:val="0"/>
        <w:keepLines w:val="0"/>
        <w:widowControl w:val="0"/>
        <w:spacing w:before="0" w:after="0" w:line="560" w:lineRule="exact"/>
        <w:ind w:firstLine="640" w:firstLineChars="200"/>
        <w:jc w:val="both"/>
        <w:rPr>
          <w:rFonts w:ascii="Times New Roman" w:hAnsi="Times New Roman" w:eastAsia="黑体" w:cs="Times New Roman"/>
          <w:b w:val="0"/>
          <w:bCs w:val="0"/>
          <w:lang w:val="zh-CN"/>
        </w:rPr>
      </w:pPr>
      <w:r>
        <w:rPr>
          <w:rFonts w:ascii="Times New Roman" w:hAnsi="Times New Roman" w:eastAsia="黑体" w:cs="Times New Roman"/>
          <w:b w:val="0"/>
          <w:bCs w:val="0"/>
          <w:lang w:val="zh-CN"/>
        </w:rPr>
        <w:t>一、推动磁湖南岸大开发</w:t>
      </w:r>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坚持文旅商居整体联动，推动磁湖南岸大开发大建设，大力发展高端商贸业、物联网等新兴产业，建设集智造、文创、商务、科技孵化、康养旅居于一体的生态智慧新区。重点推进李家坊片智慧新城项目建设，全面发展与5G、物联网等战略相关的新兴产业。</w:t>
      </w:r>
    </w:p>
    <w:p>
      <w:pPr>
        <w:pStyle w:val="4"/>
        <w:keepNext w:val="0"/>
        <w:keepLines w:val="0"/>
        <w:widowControl w:val="0"/>
        <w:spacing w:before="0" w:after="0" w:line="560" w:lineRule="exact"/>
        <w:ind w:firstLine="640" w:firstLineChars="200"/>
        <w:jc w:val="both"/>
        <w:rPr>
          <w:rFonts w:ascii="Times New Roman" w:hAnsi="Times New Roman" w:eastAsia="黑体" w:cs="Times New Roman"/>
          <w:b w:val="0"/>
          <w:bCs w:val="0"/>
          <w:lang w:val="zh-CN"/>
        </w:rPr>
      </w:pPr>
      <w:r>
        <w:rPr>
          <w:rFonts w:ascii="Times New Roman" w:hAnsi="Times New Roman" w:eastAsia="黑体" w:cs="Times New Roman"/>
          <w:b w:val="0"/>
          <w:bCs w:val="0"/>
          <w:lang w:val="zh-CN"/>
        </w:rPr>
        <w:t>二、推进黄荆山森林公园建设</w:t>
      </w:r>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围绕“生态、运动、休闲”三大主题内容，依托“山水林泉”资源优势，推进黄荆山森林公园建设，打造集矿坑创新体验、山地云顶探险、森林休闲观光、城市文化体验、生态保育及科普教育等功能于一体的城市中央生态公园。完善旅游基础设施和配套服务体系建设，充分利用资源优势，丰富旅游产品，支持联动发展，与磁湖统筹考虑，形成“趣山、奇坑、游湖、瞰城”的城市生态旅游名牌。与周边工业遗产联动，充分利用国家工业遗产旅游基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黄石国家矿山公园</w:t>
      </w:r>
      <w:r>
        <w:rPr>
          <w:rFonts w:hint="eastAsia" w:ascii="Times New Roman" w:hAnsi="Times New Roman" w:eastAsia="仿宋_GB2312" w:cs="Times New Roman"/>
          <w:sz w:val="32"/>
          <w:szCs w:val="32"/>
        </w:rPr>
        <w:t>的知名度</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讲好</w:t>
      </w:r>
      <w:r>
        <w:rPr>
          <w:rFonts w:ascii="Times New Roman" w:hAnsi="Times New Roman" w:eastAsia="仿宋_GB2312" w:cs="Times New Roman"/>
          <w:sz w:val="32"/>
          <w:szCs w:val="32"/>
        </w:rPr>
        <w:t>工业故事，扩大黄荆山旅游市场影响力。将黄荆山文旅板块建设成为全国研学示范基地、黄石市全域化文化旅游目的地、黄石旅游名片、黄石文化客厅。</w:t>
      </w:r>
    </w:p>
    <w:p>
      <w:pPr>
        <w:pStyle w:val="4"/>
        <w:keepNext w:val="0"/>
        <w:keepLines w:val="0"/>
        <w:widowControl w:val="0"/>
        <w:spacing w:before="0" w:after="0" w:line="560" w:lineRule="exact"/>
        <w:ind w:firstLine="640" w:firstLineChars="200"/>
        <w:jc w:val="both"/>
        <w:rPr>
          <w:rFonts w:ascii="Times New Roman" w:hAnsi="Times New Roman" w:eastAsia="黑体" w:cs="Times New Roman"/>
          <w:b w:val="0"/>
          <w:bCs w:val="0"/>
          <w:lang w:val="zh-CN"/>
        </w:rPr>
      </w:pPr>
      <w:r>
        <w:rPr>
          <w:rFonts w:ascii="Times New Roman" w:hAnsi="Times New Roman" w:eastAsia="黑体" w:cs="Times New Roman"/>
          <w:b w:val="0"/>
          <w:bCs w:val="0"/>
          <w:lang w:val="zh-CN"/>
        </w:rPr>
        <w:t>三、擦亮世界非遗旅游金字招牌</w:t>
      </w:r>
    </w:p>
    <w:p>
      <w:pPr>
        <w:pStyle w:val="9"/>
        <w:spacing w:before="0" w:beforeAutospacing="0" w:after="0" w:afterAutospacing="0" w:line="560" w:lineRule="exact"/>
        <w:ind w:firstLine="640"/>
        <w:jc w:val="both"/>
        <w:rPr>
          <w:rFonts w:ascii="Times New Roman" w:hAnsi="Times New Roman" w:cs="Times New Roman"/>
        </w:rPr>
      </w:pPr>
      <w:r>
        <w:rPr>
          <w:rFonts w:ascii="Times New Roman" w:hAnsi="Times New Roman" w:cs="Times New Roman"/>
          <w:sz w:val="32"/>
          <w:szCs w:val="32"/>
        </w:rPr>
        <w:t>以新建游客服务中心</w:t>
      </w:r>
      <w:r>
        <w:rPr>
          <w:rFonts w:hint="eastAsia" w:ascii="Times New Roman" w:hAnsi="Times New Roman" w:cs="Times New Roman"/>
          <w:sz w:val="32"/>
          <w:szCs w:val="32"/>
        </w:rPr>
        <w:t>、</w:t>
      </w:r>
      <w:r>
        <w:rPr>
          <w:rFonts w:ascii="Times New Roman" w:hAnsi="Times New Roman" w:cs="Times New Roman"/>
          <w:sz w:val="32"/>
          <w:szCs w:val="32"/>
        </w:rPr>
        <w:t>建设旅游公路</w:t>
      </w:r>
      <w:r>
        <w:rPr>
          <w:rFonts w:hint="eastAsia" w:ascii="Times New Roman" w:hAnsi="Times New Roman" w:cs="Times New Roman"/>
          <w:sz w:val="32"/>
          <w:szCs w:val="32"/>
        </w:rPr>
        <w:t>、</w:t>
      </w:r>
      <w:r>
        <w:rPr>
          <w:rFonts w:ascii="Times New Roman" w:hAnsi="Times New Roman" w:cs="Times New Roman"/>
          <w:sz w:val="32"/>
          <w:szCs w:val="32"/>
        </w:rPr>
        <w:t>促进配套设施</w:t>
      </w:r>
      <w:r>
        <w:rPr>
          <w:rFonts w:hint="eastAsia" w:ascii="Times New Roman" w:hAnsi="Times New Roman" w:cs="Times New Roman"/>
          <w:sz w:val="32"/>
          <w:szCs w:val="32"/>
        </w:rPr>
        <w:t>和</w:t>
      </w:r>
      <w:r>
        <w:rPr>
          <w:rFonts w:ascii="Times New Roman" w:hAnsi="Times New Roman" w:cs="Times New Roman"/>
          <w:sz w:val="32"/>
          <w:szCs w:val="32"/>
        </w:rPr>
        <w:t>景点精品化提档升级为重点，打造西塞神舟文化景区。深入挖掘西塞神舟会文化资源</w:t>
      </w:r>
      <w:r>
        <w:rPr>
          <w:rFonts w:hint="eastAsia" w:ascii="Times New Roman" w:hAnsi="Times New Roman" w:cs="Times New Roman"/>
          <w:sz w:val="32"/>
          <w:szCs w:val="32"/>
        </w:rPr>
        <w:t>和</w:t>
      </w:r>
      <w:r>
        <w:rPr>
          <w:rFonts w:ascii="Times New Roman" w:hAnsi="Times New Roman" w:cs="Times New Roman"/>
          <w:sz w:val="32"/>
          <w:szCs w:val="32"/>
        </w:rPr>
        <w:t>内涵，加快推进西塞非遗文化中心建设工程，建成神舟会展示馆，擦亮非遗文化品牌。开展“文化和自然遗产日”活动，做好非遗“六进”活动，推动非遗展示项目、非遗文创产品进景区，打造非遗主题旅游、非遗研学旅游品牌。以“西塞神舟会”为核心，推进“西塞神舟会”非遗品牌保护发展，联动周边配套提质，加大非遗文化传承人培育力度，培养一批非遗传人、文化大家。</w:t>
      </w:r>
    </w:p>
    <w:p>
      <w:pPr>
        <w:widowControl w:val="0"/>
        <w:spacing w:before="240" w:after="60" w:line="560" w:lineRule="exact"/>
        <w:jc w:val="center"/>
        <w:outlineLvl w:val="1"/>
        <w:rPr>
          <w:rFonts w:ascii="Times New Roman" w:hAnsi="Times New Roman" w:eastAsia="楷体_GB2312" w:cs="Times New Roman"/>
          <w:b/>
          <w:bCs/>
          <w:sz w:val="32"/>
          <w:szCs w:val="32"/>
        </w:rPr>
      </w:pPr>
      <w:bookmarkStart w:id="147" w:name="_Toc16755"/>
      <w:r>
        <w:rPr>
          <w:rFonts w:ascii="Times New Roman" w:hAnsi="Times New Roman" w:eastAsia="楷体_GB2312" w:cs="Times New Roman"/>
          <w:b/>
          <w:bCs/>
          <w:sz w:val="32"/>
          <w:szCs w:val="32"/>
        </w:rPr>
        <w:t>第二节  保护弘扬城市文脉</w:t>
      </w:r>
      <w:bookmarkEnd w:id="147"/>
    </w:p>
    <w:p>
      <w:pPr>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实施文化遗产保护传承工程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建立西塞文化资源名录，梳理以西塞神舟会为代表的民俗文化资源、以汉冶萍工业遗址为代表的工业文化资源、以苏式建筑群为代表的历史文化资源、以黄荆山森林公园为代表的生态文化资源、以大闸蟹为代表的美食文化资源，挖掘文化资源内涵，实现个性化发展，提升西塞文化的知名度、美誉度和影响力。重点以矿冶文化为工业旅游之魂，加大对汉冶萍遗址、源华煤矿遗址、胡家湾煤矿遗址等工业遗产保护和修缮，打造集城市记忆、知识传播、旅游体验于一体的“工业秀带”，延续城市历史文脉；以保护开发世界非物质文化遗产“西塞神舟会”为核心，用好“中国端午节俗传承基地”和“中国神舟文化之乡”国字号招牌</w:t>
      </w:r>
      <w:r>
        <w:rPr>
          <w:rFonts w:hint="eastAsia" w:ascii="Times New Roman" w:hAnsi="Times New Roman" w:eastAsia="仿宋_GB2312" w:cs="Times New Roman"/>
          <w:sz w:val="32"/>
          <w:szCs w:val="32"/>
        </w:rPr>
        <w:t>；打造</w:t>
      </w:r>
      <w:r>
        <w:rPr>
          <w:rFonts w:ascii="Times New Roman" w:hAnsi="Times New Roman" w:eastAsia="仿宋_GB2312" w:cs="Times New Roman"/>
          <w:sz w:val="32"/>
          <w:szCs w:val="32"/>
        </w:rPr>
        <w:t>苏式建筑历史文化街区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做好石龙头旧石器遗址的保护开发。</w:t>
      </w:r>
    </w:p>
    <w:p>
      <w:pPr>
        <w:widowControl w:val="0"/>
        <w:spacing w:before="240" w:after="60" w:line="560" w:lineRule="exact"/>
        <w:jc w:val="center"/>
        <w:outlineLvl w:val="1"/>
        <w:rPr>
          <w:rFonts w:ascii="Times New Roman" w:hAnsi="Times New Roman" w:eastAsia="楷体_GB2312" w:cs="Times New Roman"/>
          <w:b/>
          <w:bCs/>
          <w:sz w:val="32"/>
          <w:szCs w:val="32"/>
        </w:rPr>
      </w:pPr>
      <w:bookmarkStart w:id="148" w:name="_Toc9667"/>
      <w:r>
        <w:rPr>
          <w:rFonts w:ascii="Times New Roman" w:hAnsi="Times New Roman" w:eastAsia="楷体_GB2312" w:cs="Times New Roman"/>
          <w:b/>
          <w:bCs/>
          <w:sz w:val="32"/>
          <w:szCs w:val="32"/>
        </w:rPr>
        <w:t>第三节  大力发展全域旅游</w:t>
      </w:r>
      <w:bookmarkEnd w:id="148"/>
    </w:p>
    <w:p>
      <w:pPr>
        <w:widowControl w:val="0"/>
        <w:spacing w:line="56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树立西塞山区全域旅游发展理念，以推动旅游产业高质量发展为重要抓手，以大力优化旅游发展环境为重要保障，争创国家“全域旅游示范区”，到2025全区旅游年接待总数达到本地常住人口数量10倍以上，旅游业增加值占全区GDP比重15%以上。</w:t>
      </w:r>
    </w:p>
    <w:p>
      <w:pPr>
        <w:pStyle w:val="4"/>
        <w:keepNext w:val="0"/>
        <w:keepLines w:val="0"/>
        <w:widowControl w:val="0"/>
        <w:spacing w:before="0" w:after="0" w:line="560" w:lineRule="exact"/>
        <w:ind w:firstLine="640" w:firstLineChars="200"/>
        <w:jc w:val="both"/>
        <w:rPr>
          <w:rFonts w:ascii="Times New Roman" w:hAnsi="Times New Roman" w:eastAsia="黑体" w:cs="Times New Roman"/>
          <w:b w:val="0"/>
          <w:bCs w:val="0"/>
          <w:lang w:val="zh-CN"/>
        </w:rPr>
      </w:pPr>
      <w:r>
        <w:rPr>
          <w:rFonts w:ascii="Times New Roman" w:hAnsi="Times New Roman" w:eastAsia="黑体" w:cs="Times New Roman"/>
          <w:b w:val="0"/>
          <w:bCs w:val="0"/>
          <w:lang w:val="zh-CN"/>
        </w:rPr>
        <w:t>一、推动全域旅游开发</w:t>
      </w:r>
    </w:p>
    <w:p>
      <w:pPr>
        <w:widowControl w:val="0"/>
        <w:spacing w:line="56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坚持保护与利用并举、传承与创新并重，用好“两山、两湖、两遗”资源，推进“西塞山＋黄荆山”“磁湖＋夏浴湖”“西塞神舟会＋苏式建筑群”的保护开发。梯度开发“两山”。深化与卓尔集团合作，启动黄荆山文化旅游城子项目：草甸服务中心、荆山广场、草地滑道、荆山花海、上山步道等三级节点景观打造。支持黄荆山创建省级旅游度假区，推进西塞山4A级景区创建，适度开发“两湖”。实施磁湖南岸整治项目，启动李家坊片智慧新城，铁路西站文化创意园、高端教育区建设。结合打造沿江文化旅游风光带，实施夏浴湖修复工程，完成湖底清淤、水生动植物构建、上下湖水系连通、环湖岸线整治，修复改善湖面水质。</w:t>
      </w:r>
    </w:p>
    <w:p>
      <w:pPr>
        <w:pStyle w:val="4"/>
        <w:keepNext w:val="0"/>
        <w:keepLines w:val="0"/>
        <w:widowControl w:val="0"/>
        <w:spacing w:before="0" w:after="0" w:line="560" w:lineRule="exact"/>
        <w:ind w:firstLine="640" w:firstLineChars="200"/>
        <w:jc w:val="both"/>
        <w:rPr>
          <w:rFonts w:ascii="Times New Roman" w:hAnsi="Times New Roman" w:eastAsia="黑体" w:cs="Times New Roman"/>
          <w:b w:val="0"/>
          <w:bCs w:val="0"/>
          <w:lang w:val="zh-CN"/>
        </w:rPr>
      </w:pPr>
      <w:r>
        <w:rPr>
          <w:rFonts w:ascii="Times New Roman" w:hAnsi="Times New Roman" w:eastAsia="黑体" w:cs="Times New Roman"/>
          <w:b w:val="0"/>
          <w:bCs w:val="0"/>
          <w:lang w:val="zh-CN"/>
        </w:rPr>
        <w:t>二、做好文旅产业融合发展</w:t>
      </w:r>
    </w:p>
    <w:p>
      <w:pPr>
        <w:widowControl w:val="0"/>
        <w:spacing w:line="560" w:lineRule="exact"/>
        <w:ind w:firstLine="624" w:firstLineChars="200"/>
        <w:jc w:val="both"/>
        <w:rPr>
          <w:rFonts w:ascii="Times New Roman" w:hAnsi="Times New Roman" w:eastAsia="仿宋_GB2312" w:cs="Times New Roman"/>
          <w:spacing w:val="-4"/>
          <w:sz w:val="32"/>
          <w:szCs w:val="32"/>
        </w:rPr>
      </w:pPr>
      <w:r>
        <w:rPr>
          <w:rFonts w:ascii="Times New Roman" w:hAnsi="Times New Roman" w:eastAsia="仿宋_GB2312" w:cs="Times New Roman"/>
          <w:spacing w:val="-4"/>
          <w:sz w:val="32"/>
          <w:szCs w:val="32"/>
        </w:rPr>
        <w:t>坚持以文化为西塞山区域之魂，以旅游产业为平台，深入挖掘西塞山丰富的特色人文、工业、历史、民俗资源，收集整理历史名人、诗词歌赋、民间故事、神话传说，讲好西塞山旅游故事。结合世界非物质文化遗产“神舟会”、利用好国家级文保单位“汉冶萍旧址”、省级文保单位“苏式建筑群”“二十军军部旧址”的修缮保护及活化利用，创造更多体现民俗文化、矿冶文化、红色文化、反映西塞山发展脉络和群众喜闻乐见的文化旅游精品。完善公共文化服务体系，实施好“文化惠民”项目，构建高品质文化体验地。</w:t>
      </w:r>
    </w:p>
    <w:p>
      <w:pPr>
        <w:rPr>
          <w:rFonts w:ascii="Times New Roman" w:hAnsi="Times New Roman" w:cs="Times New Roman"/>
        </w:rPr>
      </w:pPr>
    </w:p>
    <w:p>
      <w:pPr>
        <w:widowControl w:val="0"/>
        <w:spacing w:before="240" w:after="100" w:afterAutospacing="1" w:line="560" w:lineRule="exact"/>
        <w:jc w:val="center"/>
        <w:outlineLvl w:val="0"/>
        <w:rPr>
          <w:rFonts w:ascii="Times New Roman" w:hAnsi="Times New Roman" w:eastAsia="黑体" w:cs="Times New Roman"/>
          <w:kern w:val="32"/>
          <w:sz w:val="32"/>
          <w:szCs w:val="32"/>
        </w:rPr>
      </w:pPr>
      <w:r>
        <w:rPr>
          <w:rFonts w:ascii="Times New Roman" w:hAnsi="Times New Roman" w:eastAsia="黑体" w:cs="Times New Roman"/>
          <w:kern w:val="32"/>
          <w:sz w:val="32"/>
          <w:szCs w:val="32"/>
        </w:rPr>
        <w:br w:type="page"/>
      </w:r>
      <w:bookmarkStart w:id="149" w:name="_Toc14284"/>
      <w:r>
        <w:rPr>
          <w:rFonts w:ascii="Times New Roman" w:hAnsi="Times New Roman" w:eastAsia="黑体" w:cs="Times New Roman"/>
          <w:kern w:val="32"/>
          <w:sz w:val="32"/>
          <w:szCs w:val="32"/>
        </w:rPr>
        <w:t>第九章  全面推进乡村振兴 实现农业农村新跨越</w:t>
      </w:r>
      <w:bookmarkEnd w:id="149"/>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以落实《西塞山区实施乡村振兴战略三年行动计划》为总抓手，以实施乡村振兴战略为主线，</w:t>
      </w:r>
      <w:r>
        <w:rPr>
          <w:rFonts w:hint="eastAsia" w:ascii="Times New Roman" w:hAnsi="Times New Roman" w:eastAsia="仿宋_GB2312" w:cs="Times New Roman"/>
          <w:sz w:val="32"/>
          <w:szCs w:val="32"/>
        </w:rPr>
        <w:t>以</w:t>
      </w:r>
      <w:r>
        <w:rPr>
          <w:rFonts w:ascii="Times New Roman" w:hAnsi="Times New Roman" w:eastAsia="仿宋_GB2312" w:cs="Times New Roman"/>
          <w:sz w:val="32"/>
          <w:szCs w:val="32"/>
        </w:rPr>
        <w:t>产城融合、园镇融合为路径，通过农村人居环境整治和特色农旅产业发展，强化示范引领，为“十四五”时期经济高质量发展和生态文明建设提供有力支撑。</w:t>
      </w:r>
    </w:p>
    <w:p>
      <w:pPr>
        <w:widowControl w:val="0"/>
        <w:spacing w:before="240" w:after="60" w:line="560" w:lineRule="exact"/>
        <w:jc w:val="center"/>
        <w:outlineLvl w:val="1"/>
        <w:rPr>
          <w:rFonts w:ascii="Times New Roman" w:hAnsi="Times New Roman" w:eastAsia="楷体_GB2312" w:cs="Times New Roman"/>
          <w:b/>
          <w:bCs/>
          <w:sz w:val="32"/>
          <w:szCs w:val="32"/>
        </w:rPr>
      </w:pPr>
      <w:bookmarkStart w:id="150" w:name="_Toc3444"/>
      <w:r>
        <w:rPr>
          <w:rFonts w:ascii="Times New Roman" w:hAnsi="Times New Roman" w:eastAsia="楷体_GB2312" w:cs="Times New Roman"/>
          <w:b/>
          <w:bCs/>
          <w:sz w:val="32"/>
          <w:szCs w:val="32"/>
        </w:rPr>
        <w:t>第一节  推动现代休闲农业产业做精做特</w:t>
      </w:r>
      <w:bookmarkEnd w:id="150"/>
    </w:p>
    <w:p>
      <w:pPr>
        <w:widowControl w:val="0"/>
        <w:adjustRightInd w:val="0"/>
        <w:snapToGrid w:val="0"/>
        <w:spacing w:line="560" w:lineRule="exact"/>
        <w:ind w:firstLine="640" w:firstLineChars="200"/>
        <w:jc w:val="both"/>
        <w:rPr>
          <w:rFonts w:ascii="Times New Roman" w:hAnsi="Times New Roman" w:eastAsia="仿宋_GB2312" w:cs="Times New Roman"/>
          <w:b/>
          <w:bCs/>
          <w:snapToGrid w:val="0"/>
          <w:sz w:val="32"/>
          <w:szCs w:val="32"/>
        </w:rPr>
      </w:pPr>
      <w:r>
        <w:rPr>
          <w:rFonts w:ascii="Times New Roman" w:hAnsi="Times New Roman" w:eastAsia="仿宋_GB2312" w:cs="Times New Roman"/>
          <w:snapToGrid w:val="0"/>
          <w:sz w:val="32"/>
          <w:szCs w:val="32"/>
        </w:rPr>
        <w:t>实施产业融合提质工程，推动传统农业转向特色化精品化发展，积极培育新型农业经营主体，推进田园综合体开发建设，发展沿江和沿山乡村特色旅游，促进产业高效融合发展。</w:t>
      </w:r>
    </w:p>
    <w:p>
      <w:pPr>
        <w:pStyle w:val="4"/>
        <w:keepNext w:val="0"/>
        <w:keepLines w:val="0"/>
        <w:widowControl w:val="0"/>
        <w:spacing w:before="0" w:after="0" w:line="560" w:lineRule="exact"/>
        <w:ind w:firstLine="640" w:firstLineChars="200"/>
        <w:jc w:val="both"/>
        <w:rPr>
          <w:rFonts w:ascii="Times New Roman" w:hAnsi="Times New Roman" w:eastAsia="黑体" w:cs="Times New Roman"/>
          <w:b w:val="0"/>
          <w:bCs w:val="0"/>
          <w:lang w:val="zh-CN"/>
        </w:rPr>
      </w:pPr>
      <w:bookmarkStart w:id="151" w:name="_Toc53743462"/>
      <w:bookmarkStart w:id="152" w:name="_Toc55555971"/>
      <w:bookmarkStart w:id="153" w:name="_Toc54081275"/>
      <w:bookmarkStart w:id="154" w:name="_Toc4613"/>
      <w:r>
        <w:rPr>
          <w:rFonts w:ascii="Times New Roman" w:hAnsi="Times New Roman" w:eastAsia="黑体" w:cs="Times New Roman"/>
          <w:b w:val="0"/>
          <w:bCs w:val="0"/>
          <w:lang w:val="zh-CN"/>
        </w:rPr>
        <w:t>一、</w:t>
      </w:r>
      <w:bookmarkEnd w:id="151"/>
      <w:r>
        <w:rPr>
          <w:rFonts w:ascii="Times New Roman" w:hAnsi="Times New Roman" w:eastAsia="黑体" w:cs="Times New Roman"/>
          <w:b w:val="0"/>
          <w:bCs w:val="0"/>
          <w:lang w:val="zh-CN"/>
        </w:rPr>
        <w:t>打造特色农业精品</w:t>
      </w:r>
      <w:bookmarkEnd w:id="152"/>
      <w:bookmarkEnd w:id="153"/>
      <w:bookmarkEnd w:id="154"/>
    </w:p>
    <w:p>
      <w:pPr>
        <w:widowControl w:val="0"/>
        <w:adjustRightInd w:val="0"/>
        <w:snapToGrid w:val="0"/>
        <w:spacing w:line="560" w:lineRule="exact"/>
        <w:ind w:firstLine="640" w:firstLineChars="200"/>
        <w:jc w:val="both"/>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实施精品特色农业综合开发，引进经济效益高、市场前景好的杂柑、蜜柿、香梨和金果等特色农作物和高产水果种植产业。在保留村庄培育新型农业经营主体，继续提档升级新港村级田园综合体，打造千亩虾莲套养培育创建工程，新增凉山村和石龙头村融现代精品特色种植（养殖）业、农旅文化、休闲观光于一体的城郊田园综合体1-2个。推进牯牛洲生态保护和综合开发利用，结合农旅休闲开发，对江心洲2000亩造林面积和1200亩的农作物面积，进行品种的更新换代和特色果蔬种植。</w:t>
      </w:r>
    </w:p>
    <w:p>
      <w:pPr>
        <w:pStyle w:val="4"/>
        <w:keepNext w:val="0"/>
        <w:keepLines w:val="0"/>
        <w:widowControl w:val="0"/>
        <w:spacing w:before="0" w:after="0" w:line="560" w:lineRule="exact"/>
        <w:ind w:firstLine="640" w:firstLineChars="200"/>
        <w:jc w:val="both"/>
        <w:rPr>
          <w:rFonts w:ascii="Times New Roman" w:hAnsi="Times New Roman" w:eastAsia="黑体" w:cs="Times New Roman"/>
          <w:b w:val="0"/>
          <w:bCs w:val="0"/>
          <w:lang w:val="zh-CN"/>
        </w:rPr>
      </w:pPr>
      <w:bookmarkStart w:id="155" w:name="_Toc53743463"/>
      <w:bookmarkStart w:id="156" w:name="_Toc54081276"/>
      <w:bookmarkStart w:id="157" w:name="_Toc30095"/>
      <w:bookmarkStart w:id="158" w:name="_Toc55555972"/>
      <w:r>
        <w:rPr>
          <w:rFonts w:ascii="Times New Roman" w:hAnsi="Times New Roman" w:eastAsia="黑体" w:cs="Times New Roman"/>
          <w:b w:val="0"/>
          <w:bCs w:val="0"/>
          <w:lang w:val="zh-CN"/>
        </w:rPr>
        <w:t>二、推进产业融合提质</w:t>
      </w:r>
      <w:bookmarkEnd w:id="155"/>
      <w:bookmarkEnd w:id="156"/>
      <w:bookmarkEnd w:id="157"/>
      <w:bookmarkEnd w:id="158"/>
    </w:p>
    <w:p>
      <w:pPr>
        <w:widowControl w:val="0"/>
        <w:spacing w:line="560" w:lineRule="exact"/>
        <w:ind w:firstLine="640" w:firstLineChars="200"/>
        <w:jc w:val="both"/>
        <w:rPr>
          <w:rFonts w:ascii="Times New Roman" w:hAnsi="Times New Roman" w:cs="Times New Roman"/>
        </w:rPr>
      </w:pPr>
      <w:r>
        <w:rPr>
          <w:rFonts w:ascii="Times New Roman" w:hAnsi="Times New Roman" w:eastAsia="仿宋_GB2312" w:cs="Times New Roman"/>
          <w:kern w:val="2"/>
          <w:sz w:val="32"/>
          <w:szCs w:val="32"/>
        </w:rPr>
        <w:t>结合临港产业园建设，坚持“园镇一体化”发展，推进传统产业转型升级，扶持发展湘莲种植、螃蟹等水产养殖等优势产业，扩大河口螃蟹等农产品品牌影响力。坚持旅游与农业农村融合发展，统筹西塞山、夏浴湖、江心洲等生态文化资源</w:t>
      </w:r>
      <w:r>
        <w:rPr>
          <w:rFonts w:ascii="Times New Roman" w:hAnsi="Times New Roman" w:cs="Times New Roman"/>
          <w:sz w:val="32"/>
          <w:szCs w:val="32"/>
        </w:rPr>
        <w:t>，</w:t>
      </w:r>
      <w:r>
        <w:rPr>
          <w:rFonts w:ascii="Times New Roman" w:hAnsi="Times New Roman" w:eastAsia="仿宋_GB2312" w:cs="Times New Roman"/>
          <w:sz w:val="32"/>
          <w:szCs w:val="32"/>
        </w:rPr>
        <w:t>推进田园综合体开发建设，打造沿江、沿山</w:t>
      </w:r>
      <w:r>
        <w:rPr>
          <w:rFonts w:ascii="Times New Roman" w:hAnsi="Times New Roman" w:eastAsia="仿宋_GB2312" w:cs="Times New Roman"/>
          <w:kern w:val="2"/>
          <w:sz w:val="32"/>
          <w:szCs w:val="32"/>
        </w:rPr>
        <w:t>休闲观光农业旅游线路和以西塞神舟会世界级物质文化遗产为核心的文化生态旅游线路。</w:t>
      </w:r>
    </w:p>
    <w:p>
      <w:pPr>
        <w:pStyle w:val="4"/>
        <w:keepNext w:val="0"/>
        <w:keepLines w:val="0"/>
        <w:widowControl w:val="0"/>
        <w:spacing w:before="0" w:after="0" w:line="560" w:lineRule="exact"/>
        <w:ind w:firstLine="640" w:firstLineChars="200"/>
        <w:jc w:val="both"/>
        <w:rPr>
          <w:rFonts w:ascii="Times New Roman" w:hAnsi="Times New Roman" w:eastAsia="黑体" w:cs="Times New Roman"/>
          <w:b w:val="0"/>
          <w:bCs w:val="0"/>
          <w:lang w:val="zh-CN"/>
        </w:rPr>
      </w:pPr>
      <w:bookmarkStart w:id="159" w:name="_Toc55555973"/>
      <w:bookmarkStart w:id="160" w:name="_Toc53743464"/>
      <w:bookmarkStart w:id="161" w:name="_Toc54081277"/>
      <w:bookmarkStart w:id="162" w:name="_Toc384"/>
      <w:r>
        <w:rPr>
          <w:rFonts w:ascii="Times New Roman" w:hAnsi="Times New Roman" w:eastAsia="黑体" w:cs="Times New Roman"/>
          <w:b w:val="0"/>
          <w:bCs w:val="0"/>
          <w:lang w:val="zh-CN"/>
        </w:rPr>
        <w:t>三、搭建电商发展平台</w:t>
      </w:r>
      <w:bookmarkEnd w:id="159"/>
      <w:bookmarkEnd w:id="160"/>
      <w:bookmarkEnd w:id="161"/>
      <w:bookmarkEnd w:id="162"/>
    </w:p>
    <w:p>
      <w:pPr>
        <w:widowControl w:val="0"/>
        <w:adjustRightInd w:val="0"/>
        <w:snapToGrid w:val="0"/>
        <w:spacing w:line="560" w:lineRule="exact"/>
        <w:ind w:firstLine="640" w:firstLineChars="200"/>
        <w:jc w:val="both"/>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推进“互联网+现代农业”行动，引导农民转变传统营销模式，培育适合线上线下特色种植（养殖）电商化运营的农业产品项目1-2个，推动“名特优新”特色农产品上网营销。培训培育农村电商实用人才和农村创新创业带头人，将符合条件的返乡创业农民工纳入一次性创业补贴范围。</w:t>
      </w:r>
    </w:p>
    <w:p>
      <w:pPr>
        <w:widowControl w:val="0"/>
        <w:spacing w:before="240" w:after="60" w:line="560" w:lineRule="exact"/>
        <w:jc w:val="center"/>
        <w:outlineLvl w:val="1"/>
        <w:rPr>
          <w:rFonts w:ascii="Times New Roman" w:hAnsi="Times New Roman" w:eastAsia="楷体_GB2312" w:cs="Times New Roman"/>
          <w:b/>
          <w:bCs/>
          <w:sz w:val="32"/>
          <w:szCs w:val="32"/>
        </w:rPr>
      </w:pPr>
      <w:bookmarkStart w:id="163" w:name="_Toc20265"/>
      <w:r>
        <w:rPr>
          <w:rFonts w:ascii="Times New Roman" w:hAnsi="Times New Roman" w:eastAsia="楷体_GB2312" w:cs="Times New Roman"/>
          <w:b/>
          <w:bCs/>
          <w:sz w:val="32"/>
          <w:szCs w:val="32"/>
        </w:rPr>
        <w:t>第二节  建设生态宜居美丽乡村</w:t>
      </w:r>
      <w:bookmarkEnd w:id="163"/>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开展村庄清洁行动，持续深入开展农村人居环境整治，推进乡村建设发展，建立农村卫生保洁长效机制，助推美丽乡村建设。</w:t>
      </w:r>
    </w:p>
    <w:p>
      <w:pPr>
        <w:pStyle w:val="4"/>
        <w:keepNext w:val="0"/>
        <w:keepLines w:val="0"/>
        <w:widowControl w:val="0"/>
        <w:spacing w:before="0" w:after="0" w:line="560" w:lineRule="exact"/>
        <w:ind w:firstLine="640" w:firstLineChars="200"/>
        <w:jc w:val="both"/>
        <w:rPr>
          <w:rFonts w:ascii="Times New Roman" w:hAnsi="Times New Roman" w:eastAsia="黑体" w:cs="Times New Roman"/>
          <w:b w:val="0"/>
          <w:bCs w:val="0"/>
          <w:lang w:val="zh-CN"/>
        </w:rPr>
      </w:pPr>
      <w:bookmarkStart w:id="164" w:name="_Toc54081279"/>
      <w:bookmarkStart w:id="165" w:name="_Toc53743466"/>
      <w:bookmarkStart w:id="166" w:name="_Toc55555975"/>
      <w:bookmarkStart w:id="167" w:name="_Toc10757"/>
      <w:r>
        <w:rPr>
          <w:rFonts w:ascii="Times New Roman" w:hAnsi="Times New Roman" w:eastAsia="黑体" w:cs="Times New Roman"/>
          <w:b w:val="0"/>
          <w:bCs w:val="0"/>
          <w:lang w:val="zh-CN"/>
        </w:rPr>
        <w:t>一、</w:t>
      </w:r>
      <w:bookmarkStart w:id="168" w:name="_Hlk53422871"/>
      <w:r>
        <w:rPr>
          <w:rFonts w:ascii="Times New Roman" w:hAnsi="Times New Roman" w:eastAsia="黑体" w:cs="Times New Roman"/>
          <w:b w:val="0"/>
          <w:bCs w:val="0"/>
          <w:lang w:val="zh-CN"/>
        </w:rPr>
        <w:t>全面推进农村人居环境整治</w:t>
      </w:r>
      <w:bookmarkEnd w:id="164"/>
      <w:bookmarkEnd w:id="165"/>
      <w:bookmarkEnd w:id="166"/>
      <w:bookmarkEnd w:id="167"/>
      <w:bookmarkEnd w:id="168"/>
    </w:p>
    <w:p>
      <w:pPr>
        <w:widowControl w:val="0"/>
        <w:adjustRightInd w:val="0"/>
        <w:snapToGrid w:val="0"/>
        <w:spacing w:line="560" w:lineRule="exact"/>
        <w:ind w:firstLine="640" w:firstLineChars="200"/>
        <w:jc w:val="both"/>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大力推进乡村生态文明建设，巩固前期农村人居环境整治成果，以原有5个省级二类整治标准村为带动，加快推进保留村湾环境整体治理，实现村容村貌整体提升；持续推进污水治理、厕所革命，实现镇、村公共厕所全覆盖，农户无害化厕所普及率100%，湾组生活污水处理率100%，生活垃圾无害化处理率达到90%以上。</w:t>
      </w:r>
    </w:p>
    <w:p>
      <w:pPr>
        <w:pStyle w:val="4"/>
        <w:keepNext w:val="0"/>
        <w:keepLines w:val="0"/>
        <w:widowControl w:val="0"/>
        <w:spacing w:before="0" w:after="0" w:line="560" w:lineRule="exact"/>
        <w:ind w:firstLine="640" w:firstLineChars="200"/>
        <w:jc w:val="both"/>
        <w:rPr>
          <w:rFonts w:ascii="Times New Roman" w:hAnsi="Times New Roman" w:eastAsia="黑体" w:cs="Times New Roman"/>
          <w:b w:val="0"/>
          <w:bCs w:val="0"/>
          <w:lang w:val="zh-CN"/>
        </w:rPr>
      </w:pPr>
      <w:bookmarkStart w:id="169" w:name="_Toc55555976"/>
      <w:bookmarkStart w:id="170" w:name="_Toc53743467"/>
      <w:bookmarkStart w:id="171" w:name="_Toc31366"/>
      <w:bookmarkStart w:id="172" w:name="_Toc54081280"/>
      <w:r>
        <w:rPr>
          <w:rFonts w:ascii="Times New Roman" w:hAnsi="Times New Roman" w:eastAsia="黑体" w:cs="Times New Roman"/>
          <w:b w:val="0"/>
          <w:bCs w:val="0"/>
          <w:lang w:val="zh-CN"/>
        </w:rPr>
        <w:t>二、</w:t>
      </w:r>
      <w:bookmarkEnd w:id="169"/>
      <w:bookmarkEnd w:id="170"/>
      <w:bookmarkEnd w:id="171"/>
      <w:bookmarkEnd w:id="172"/>
      <w:r>
        <w:rPr>
          <w:rFonts w:ascii="Times New Roman" w:hAnsi="Times New Roman" w:eastAsia="黑体" w:cs="Times New Roman"/>
          <w:b w:val="0"/>
          <w:bCs w:val="0"/>
          <w:lang w:val="zh-CN"/>
        </w:rPr>
        <w:t>实施乡村建设行动</w:t>
      </w:r>
    </w:p>
    <w:p>
      <w:pPr>
        <w:widowControl w:val="0"/>
        <w:adjustRightInd w:val="0"/>
        <w:snapToGrid w:val="0"/>
        <w:spacing w:line="560" w:lineRule="exact"/>
        <w:ind w:firstLine="640" w:firstLineChars="200"/>
        <w:jc w:val="both"/>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结合特色小镇、美丽乡村建设，深入挖掘村湾特色，在保护乡村原有建筑风貌和村落格局基础上，结合乡村历史古韵、区位条件、资源禀赋，打造特色自然湾，重现原生态田园风光和乡土风情。着力创建省市级“森林乡村”“生态村镇”“美丽乡村示范村”。坚持建管并重，提档升级农村水、电、路、气、通信、广播电视、物流等基础设施。提高农民科技文化素质，推动乡村人才振兴。</w:t>
      </w:r>
    </w:p>
    <w:p>
      <w:pPr>
        <w:pStyle w:val="4"/>
        <w:keepNext w:val="0"/>
        <w:keepLines w:val="0"/>
        <w:widowControl w:val="0"/>
        <w:spacing w:before="0" w:after="0" w:line="560" w:lineRule="exact"/>
        <w:ind w:firstLine="640" w:firstLineChars="200"/>
        <w:jc w:val="both"/>
        <w:rPr>
          <w:rFonts w:ascii="Times New Roman" w:hAnsi="Times New Roman" w:eastAsia="黑体" w:cs="Times New Roman"/>
          <w:b w:val="0"/>
          <w:bCs w:val="0"/>
          <w:lang w:val="zh-CN"/>
        </w:rPr>
      </w:pPr>
      <w:bookmarkStart w:id="173" w:name="_Toc8178"/>
      <w:bookmarkStart w:id="174" w:name="_Toc55555977"/>
      <w:bookmarkStart w:id="175" w:name="_Toc53743468"/>
      <w:bookmarkStart w:id="176" w:name="_Toc54081281"/>
      <w:r>
        <w:rPr>
          <w:rFonts w:ascii="Times New Roman" w:hAnsi="Times New Roman" w:eastAsia="黑体" w:cs="Times New Roman"/>
          <w:b w:val="0"/>
          <w:bCs w:val="0"/>
          <w:lang w:val="zh-CN"/>
        </w:rPr>
        <w:t>三、</w:t>
      </w:r>
      <w:bookmarkStart w:id="177" w:name="_Hlk53400518"/>
      <w:r>
        <w:rPr>
          <w:rFonts w:ascii="Times New Roman" w:hAnsi="Times New Roman" w:eastAsia="黑体" w:cs="Times New Roman"/>
          <w:b w:val="0"/>
          <w:bCs w:val="0"/>
          <w:lang w:val="zh-CN"/>
        </w:rPr>
        <w:t>推进乡村绿色发展</w:t>
      </w:r>
      <w:bookmarkEnd w:id="173"/>
      <w:bookmarkEnd w:id="174"/>
      <w:bookmarkEnd w:id="175"/>
      <w:bookmarkEnd w:id="176"/>
      <w:bookmarkEnd w:id="177"/>
    </w:p>
    <w:p>
      <w:pPr>
        <w:widowControl w:val="0"/>
        <w:adjustRightInd w:val="0"/>
        <w:snapToGrid w:val="0"/>
        <w:spacing w:line="560" w:lineRule="exact"/>
        <w:ind w:firstLine="640" w:firstLineChars="200"/>
        <w:jc w:val="both"/>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推进西塞山区受污染耕地治理及开发保护，对受污染的1560亩耕地通过整治进行保护和安全利用。全面推行“河湖长制”和“林长制”工作，加强乡村生态保护与修复，持续推进长江沿线禁捕、禁渔、禁养工作，巩固非法码头整治成果，切实抓好长江大保护。深度推进夏浴湖生态修复和综合治理，建成夏浴湖湿地公园，对夏浴湖进行绿色生态保护和适度开发。</w:t>
      </w:r>
    </w:p>
    <w:p>
      <w:pPr>
        <w:widowControl w:val="0"/>
        <w:spacing w:before="240" w:after="60" w:line="560" w:lineRule="exact"/>
        <w:jc w:val="center"/>
        <w:outlineLvl w:val="1"/>
        <w:rPr>
          <w:rFonts w:ascii="Times New Roman" w:hAnsi="Times New Roman" w:eastAsia="楷体_GB2312" w:cs="Times New Roman"/>
          <w:b/>
          <w:bCs/>
          <w:sz w:val="32"/>
          <w:szCs w:val="32"/>
        </w:rPr>
      </w:pPr>
      <w:bookmarkStart w:id="178" w:name="_Toc20529"/>
      <w:r>
        <w:rPr>
          <w:rFonts w:ascii="Times New Roman" w:hAnsi="Times New Roman" w:eastAsia="楷体_GB2312" w:cs="Times New Roman"/>
          <w:b/>
          <w:bCs/>
          <w:sz w:val="32"/>
          <w:szCs w:val="32"/>
        </w:rPr>
        <w:t>第三节  持续增强农村发展活力</w:t>
      </w:r>
      <w:bookmarkEnd w:id="178"/>
    </w:p>
    <w:p>
      <w:pPr>
        <w:widowControl w:val="0"/>
        <w:adjustRightInd w:val="0"/>
        <w:snapToGrid w:val="0"/>
        <w:spacing w:line="560" w:lineRule="exact"/>
        <w:ind w:firstLine="640" w:firstLineChars="200"/>
        <w:jc w:val="both"/>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健全城乡融合发展机制，吸引企业、能人、市民下乡兴乡，增强农业农村发展活力。落实第二轮土地承包到期后再延长三十年政策，保障进城落户农民土地承包权、宅基地使用权、集体收益分配权，鼓励依法自愿有偿转让。做好农村集体产权制度改革后半篇文章，探索引导村集体建设用地通过入股、租用等方式交由村委会或合作社等集体经济组织托管，发展多样化的联合与合作，健全实施乡村振兴战略财政投入保障制度，积极争取各级政策、项目和资金扶持，区级投入每年不少于1000万元用于乡村振兴并逐步增加。创新农村基础设施投融资体制机制，加强“美丽乡村”建设等涉农项目策划，鼓励金融和社会资本的公益性和营利性投入。建立村集体和村民投入奖励补贴制度，采取先建后补、奖补结合的方式，激活乡村振兴内生动力。</w:t>
      </w:r>
    </w:p>
    <w:p>
      <w:pPr>
        <w:widowControl w:val="0"/>
        <w:spacing w:before="240" w:after="60" w:line="560" w:lineRule="exact"/>
        <w:jc w:val="center"/>
        <w:outlineLvl w:val="1"/>
        <w:rPr>
          <w:rFonts w:ascii="Times New Roman" w:hAnsi="Times New Roman" w:eastAsia="楷体_GB2312" w:cs="Times New Roman"/>
          <w:b/>
          <w:bCs/>
          <w:sz w:val="32"/>
          <w:szCs w:val="32"/>
        </w:rPr>
      </w:pPr>
      <w:bookmarkStart w:id="179" w:name="_Toc23846"/>
      <w:bookmarkStart w:id="180" w:name="_Toc4116"/>
      <w:r>
        <w:rPr>
          <w:rFonts w:ascii="Times New Roman" w:hAnsi="Times New Roman" w:eastAsia="楷体_GB2312" w:cs="Times New Roman"/>
          <w:b/>
          <w:bCs/>
          <w:sz w:val="32"/>
          <w:szCs w:val="32"/>
        </w:rPr>
        <w:t>第四节  加快城乡融合发展</w:t>
      </w:r>
      <w:bookmarkEnd w:id="179"/>
      <w:bookmarkEnd w:id="180"/>
    </w:p>
    <w:p>
      <w:pPr>
        <w:widowControl w:val="0"/>
        <w:spacing w:line="560" w:lineRule="exact"/>
        <w:ind w:firstLine="640" w:firstLineChars="200"/>
        <w:jc w:val="both"/>
        <w:rPr>
          <w:rFonts w:ascii="Times New Roman" w:hAnsi="Times New Roman" w:eastAsia="仿宋_GB2312" w:cs="Times New Roman"/>
          <w:snapToGrid w:val="0"/>
          <w:sz w:val="32"/>
          <w:szCs w:val="32"/>
        </w:rPr>
      </w:pPr>
      <w:r>
        <w:rPr>
          <w:rFonts w:ascii="Times New Roman" w:hAnsi="Times New Roman" w:eastAsia="仿宋_GB2312" w:cs="Times New Roman"/>
          <w:sz w:val="32"/>
          <w:szCs w:val="32"/>
        </w:rPr>
        <w:t>不断加大城乡统筹力度，加快完善城乡道路、通信、电网等基础设施配套，努力实现城乡基础设施一体化。统筹城乡教育、医疗、文化体育和社会保障等，逐步缩小城乡之间的基本差别。</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640" w:type="dxa"/>
            <w:noWrap w:val="0"/>
            <w:vAlign w:val="center"/>
          </w:tcPr>
          <w:p>
            <w:pPr>
              <w:widowControl w:val="0"/>
              <w:spacing w:line="400" w:lineRule="exact"/>
              <w:jc w:val="center"/>
              <w:rPr>
                <w:rFonts w:ascii="Times New Roman" w:hAnsi="Times New Roman" w:eastAsia="仿宋_GB2312" w:cs="Times New Roman"/>
                <w:b/>
                <w:bCs/>
              </w:rPr>
            </w:pPr>
            <w:r>
              <w:rPr>
                <w:rFonts w:ascii="Times New Roman" w:hAnsi="Times New Roman" w:eastAsia="仿宋_GB2312" w:cs="Times New Roman"/>
                <w:b/>
                <w:bCs/>
              </w:rPr>
              <w:t>专栏9-1 实施乡村振兴战略工程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0" w:type="dxa"/>
            <w:noWrap w:val="0"/>
            <w:vAlign w:val="top"/>
          </w:tcPr>
          <w:p>
            <w:pPr>
              <w:widowControl w:val="0"/>
              <w:spacing w:line="400" w:lineRule="exact"/>
              <w:ind w:firstLine="420" w:firstLineChars="200"/>
              <w:rPr>
                <w:rFonts w:ascii="Times New Roman" w:hAnsi="Times New Roman" w:eastAsia="仿宋_GB2312" w:cs="Times New Roman"/>
              </w:rPr>
            </w:pPr>
            <w:r>
              <w:rPr>
                <w:rFonts w:ascii="Times New Roman" w:hAnsi="Times New Roman" w:eastAsia="仿宋_GB2312" w:cs="Times New Roman"/>
                <w:b/>
                <w:bCs/>
              </w:rPr>
              <w:t>产业融合提质工程：</w:t>
            </w:r>
            <w:r>
              <w:rPr>
                <w:rFonts w:ascii="Times New Roman" w:hAnsi="Times New Roman" w:eastAsia="仿宋_GB2312" w:cs="Times New Roman"/>
              </w:rPr>
              <w:t>城郊都市田园综合体开发、精品特色农业综合开发、新港村特色农旅开发、牯牛洲生态保护和综合开发利用。</w:t>
            </w:r>
          </w:p>
          <w:p>
            <w:pPr>
              <w:widowControl w:val="0"/>
              <w:spacing w:line="400" w:lineRule="exact"/>
              <w:ind w:firstLine="420" w:firstLineChars="200"/>
              <w:rPr>
                <w:rFonts w:ascii="Times New Roman" w:hAnsi="Times New Roman" w:eastAsia="仿宋_GB2312" w:cs="Times New Roman"/>
              </w:rPr>
            </w:pPr>
            <w:r>
              <w:rPr>
                <w:rFonts w:ascii="Times New Roman" w:hAnsi="Times New Roman" w:eastAsia="仿宋_GB2312" w:cs="Times New Roman"/>
                <w:b/>
                <w:bCs/>
              </w:rPr>
              <w:t>人居环境提档工程：</w:t>
            </w:r>
            <w:r>
              <w:rPr>
                <w:rFonts w:ascii="Times New Roman" w:hAnsi="Times New Roman" w:eastAsia="仿宋_GB2312" w:cs="Times New Roman"/>
              </w:rPr>
              <w:t>沿江美丽村湾绿化景观提升工程。</w:t>
            </w:r>
          </w:p>
        </w:tc>
      </w:tr>
    </w:tbl>
    <w:p>
      <w:pPr>
        <w:widowControl w:val="0"/>
        <w:spacing w:line="560" w:lineRule="exact"/>
        <w:jc w:val="both"/>
        <w:rPr>
          <w:rFonts w:ascii="Times New Roman" w:hAnsi="Times New Roman" w:eastAsia="仿宋_GB2312" w:cs="Times New Roman"/>
          <w:sz w:val="32"/>
          <w:szCs w:val="32"/>
        </w:rPr>
        <w:sectPr>
          <w:footerReference r:id="rId5" w:type="default"/>
          <w:pgSz w:w="11906" w:h="16838"/>
          <w:pgMar w:top="2098" w:right="1531" w:bottom="1985" w:left="1531" w:header="851" w:footer="992" w:gutter="0"/>
          <w:cols w:space="720" w:num="1"/>
          <w:docGrid w:type="linesAndChars" w:linePitch="312" w:charSpace="0"/>
        </w:sectPr>
      </w:pPr>
    </w:p>
    <w:p>
      <w:pPr>
        <w:widowControl w:val="0"/>
        <w:spacing w:before="240" w:after="100" w:afterAutospacing="1" w:line="560" w:lineRule="exact"/>
        <w:jc w:val="center"/>
        <w:outlineLvl w:val="0"/>
        <w:rPr>
          <w:rFonts w:ascii="Times New Roman" w:hAnsi="Times New Roman" w:eastAsia="黑体" w:cs="Times New Roman"/>
          <w:kern w:val="32"/>
          <w:sz w:val="32"/>
          <w:szCs w:val="32"/>
        </w:rPr>
      </w:pPr>
      <w:bookmarkStart w:id="181" w:name="_Toc47971153"/>
      <w:bookmarkStart w:id="182" w:name="_Toc1830"/>
      <w:r>
        <w:rPr>
          <w:rFonts w:ascii="Times New Roman" w:hAnsi="Times New Roman" w:eastAsia="黑体" w:cs="Times New Roman"/>
          <w:kern w:val="32"/>
          <w:sz w:val="32"/>
          <w:szCs w:val="32"/>
        </w:rPr>
        <w:t>第十章</w:t>
      </w:r>
      <w:bookmarkEnd w:id="181"/>
      <w:r>
        <w:rPr>
          <w:rFonts w:ascii="Times New Roman" w:hAnsi="Times New Roman" w:eastAsia="黑体" w:cs="Times New Roman"/>
          <w:kern w:val="32"/>
          <w:sz w:val="32"/>
          <w:szCs w:val="32"/>
        </w:rPr>
        <w:t xml:space="preserve">  坚持以长江大保护为引领 扎实推进绿色发展</w:t>
      </w:r>
      <w:bookmarkEnd w:id="182"/>
    </w:p>
    <w:p>
      <w:pPr>
        <w:widowControl w:val="0"/>
        <w:spacing w:line="560" w:lineRule="exact"/>
        <w:ind w:firstLine="640"/>
        <w:jc w:val="both"/>
        <w:rPr>
          <w:rFonts w:ascii="Times New Roman" w:hAnsi="Times New Roman" w:eastAsia="楷体_GB2312" w:cs="Times New Roman"/>
          <w:b/>
          <w:bCs/>
          <w:sz w:val="32"/>
          <w:szCs w:val="32"/>
        </w:rPr>
      </w:pPr>
      <w:r>
        <w:rPr>
          <w:rFonts w:ascii="Times New Roman" w:hAnsi="Times New Roman" w:eastAsia="仿宋_GB2312" w:cs="Times New Roman"/>
          <w:sz w:val="32"/>
          <w:szCs w:val="32"/>
        </w:rPr>
        <w:t>牢固树立“绿水青山就是金山银山”的理念，坚持把长江大保护摆在压倒性位置，大力实施重大生态建设和环境保护工程，加快生态文明制度建设，扎实做好生态修复、环境保护、绿色发展三篇文章，筑牢高质量发展生态屏障。</w:t>
      </w:r>
    </w:p>
    <w:p>
      <w:pPr>
        <w:widowControl w:val="0"/>
        <w:spacing w:before="240" w:after="60" w:line="560" w:lineRule="exact"/>
        <w:jc w:val="center"/>
        <w:outlineLvl w:val="1"/>
        <w:rPr>
          <w:rFonts w:ascii="Times New Roman" w:hAnsi="Times New Roman" w:eastAsia="楷体_GB2312" w:cs="Times New Roman"/>
          <w:b/>
          <w:bCs/>
          <w:sz w:val="32"/>
          <w:szCs w:val="32"/>
        </w:rPr>
      </w:pPr>
      <w:bookmarkStart w:id="183" w:name="_Toc16045"/>
      <w:r>
        <w:rPr>
          <w:rFonts w:ascii="Times New Roman" w:hAnsi="Times New Roman" w:eastAsia="楷体_GB2312" w:cs="Times New Roman"/>
          <w:b/>
          <w:bCs/>
          <w:sz w:val="32"/>
          <w:szCs w:val="32"/>
        </w:rPr>
        <w:t>第一节  深入推进长江大保护</w:t>
      </w:r>
      <w:bookmarkEnd w:id="183"/>
    </w:p>
    <w:p>
      <w:pPr>
        <w:widowControl w:val="0"/>
        <w:spacing w:line="560" w:lineRule="exact"/>
        <w:ind w:firstLine="645"/>
        <w:jc w:val="both"/>
        <w:rPr>
          <w:rFonts w:ascii="Times New Roman" w:hAnsi="Times New Roman" w:eastAsia="仿宋_GB2312" w:cs="Times New Roman"/>
          <w:b/>
          <w:bCs/>
          <w:sz w:val="32"/>
          <w:szCs w:val="32"/>
        </w:rPr>
      </w:pPr>
      <w:bookmarkStart w:id="184" w:name="_Hlk22565885"/>
      <w:r>
        <w:rPr>
          <w:rFonts w:ascii="Times New Roman" w:hAnsi="Times New Roman" w:eastAsia="仿宋_GB2312" w:cs="Times New Roman"/>
          <w:sz w:val="32"/>
          <w:szCs w:val="32"/>
        </w:rPr>
        <w:t>坚持共抓大保护、不搞大开发，大力实施“碧水、绿岸、洁产、畅流”行动，坚定不移抓好长江保护修复。以打造“两座金山银山”为抓手，加快释放生态建设新优势，切实加大生态系统保护和修复力度，让西塞山区的天更蓝、山更绿、水更清、空气更清新。</w:t>
      </w:r>
    </w:p>
    <w:p>
      <w:pPr>
        <w:pStyle w:val="4"/>
        <w:keepNext w:val="0"/>
        <w:keepLines w:val="0"/>
        <w:widowControl w:val="0"/>
        <w:spacing w:before="0" w:after="0" w:line="560" w:lineRule="exact"/>
        <w:ind w:firstLine="640" w:firstLineChars="200"/>
        <w:jc w:val="both"/>
        <w:rPr>
          <w:rFonts w:ascii="Times New Roman" w:hAnsi="Times New Roman" w:eastAsia="黑体" w:cs="Times New Roman"/>
          <w:b w:val="0"/>
          <w:bCs w:val="0"/>
          <w:lang w:val="zh-CN"/>
        </w:rPr>
      </w:pPr>
      <w:bookmarkStart w:id="185" w:name="_Toc53743478"/>
      <w:bookmarkStart w:id="186" w:name="_Toc54081291"/>
      <w:bookmarkStart w:id="187" w:name="_Toc55555987"/>
      <w:bookmarkStart w:id="188" w:name="_Toc22355"/>
      <w:r>
        <w:rPr>
          <w:rFonts w:ascii="Times New Roman" w:hAnsi="Times New Roman" w:eastAsia="黑体" w:cs="Times New Roman"/>
          <w:b w:val="0"/>
          <w:bCs w:val="0"/>
          <w:lang w:val="zh-CN"/>
        </w:rPr>
        <w:t>一、</w:t>
      </w:r>
      <w:bookmarkEnd w:id="185"/>
      <w:bookmarkEnd w:id="186"/>
      <w:bookmarkEnd w:id="187"/>
      <w:bookmarkEnd w:id="188"/>
      <w:r>
        <w:rPr>
          <w:rFonts w:ascii="Times New Roman" w:hAnsi="Times New Roman" w:eastAsia="黑体" w:cs="Times New Roman"/>
          <w:b w:val="0"/>
          <w:bCs w:val="0"/>
          <w:lang w:val="zh-CN"/>
        </w:rPr>
        <w:t>打造最美长江岸线</w:t>
      </w:r>
    </w:p>
    <w:p>
      <w:pPr>
        <w:widowControl w:val="0"/>
        <w:spacing w:line="560" w:lineRule="exact"/>
        <w:ind w:firstLine="645"/>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坚决打赢</w:t>
      </w:r>
      <w:r>
        <w:rPr>
          <w:rFonts w:ascii="Times New Roman" w:hAnsi="Times New Roman" w:eastAsia="仿宋_GB2312" w:cs="Times New Roman"/>
          <w:sz w:val="32"/>
          <w:szCs w:val="32"/>
        </w:rPr>
        <w:t>沿江化工企业环保设施改造升级和排放提标、长江入河排口全面治理等标志性战役，加快西塞山区沿江生态廊道建设，推进西塞山神舟滨江公园、神舟会生态游园、牯牛洲桂花园等滨江公园和景观带建设，</w:t>
      </w:r>
      <w:bookmarkStart w:id="189" w:name="_Hlk60310469"/>
      <w:r>
        <w:rPr>
          <w:rFonts w:ascii="Times New Roman" w:hAnsi="Times New Roman" w:eastAsia="仿宋_GB2312" w:cs="Times New Roman"/>
          <w:sz w:val="32"/>
          <w:szCs w:val="32"/>
        </w:rPr>
        <w:t>打造黄石最美长江岸线</w:t>
      </w:r>
      <w:bookmarkEnd w:id="189"/>
      <w:r>
        <w:rPr>
          <w:rFonts w:ascii="Times New Roman" w:hAnsi="Times New Roman" w:eastAsia="仿宋_GB2312" w:cs="Times New Roman"/>
          <w:sz w:val="32"/>
          <w:szCs w:val="32"/>
        </w:rPr>
        <w:t>。加强长江、磁湖、夏浴湖、凉山水库等主要水域的监测和科学研究，测定水资源量水环境容量、水生态服务价值、生物多样性在时空的分布状况，建立以地理信息系统为基础的水域数据库。对磁湖等基础设施完善的生态节点，注重生态功能的维护和强化。</w:t>
      </w:r>
    </w:p>
    <w:p>
      <w:pPr>
        <w:pStyle w:val="4"/>
        <w:keepNext w:val="0"/>
        <w:keepLines w:val="0"/>
        <w:widowControl w:val="0"/>
        <w:spacing w:before="0" w:after="0" w:line="560" w:lineRule="exact"/>
        <w:ind w:firstLine="640" w:firstLineChars="200"/>
        <w:jc w:val="both"/>
        <w:rPr>
          <w:rFonts w:ascii="Times New Roman" w:hAnsi="Times New Roman" w:eastAsia="黑体" w:cs="Times New Roman"/>
          <w:b w:val="0"/>
          <w:bCs w:val="0"/>
          <w:lang w:val="zh-CN"/>
        </w:rPr>
      </w:pPr>
      <w:bookmarkStart w:id="190" w:name="_Toc19427"/>
      <w:bookmarkStart w:id="191" w:name="_Toc53743479"/>
      <w:bookmarkStart w:id="192" w:name="_Toc55555988"/>
      <w:bookmarkStart w:id="193" w:name="_Toc54081292"/>
      <w:r>
        <w:rPr>
          <w:rFonts w:ascii="Times New Roman" w:hAnsi="Times New Roman" w:eastAsia="黑体" w:cs="Times New Roman"/>
          <w:b w:val="0"/>
          <w:bCs w:val="0"/>
          <w:lang w:val="zh-CN"/>
        </w:rPr>
        <w:t>二、</w:t>
      </w:r>
      <w:bookmarkEnd w:id="184"/>
      <w:bookmarkEnd w:id="190"/>
      <w:bookmarkEnd w:id="191"/>
      <w:bookmarkEnd w:id="192"/>
      <w:bookmarkEnd w:id="193"/>
      <w:r>
        <w:rPr>
          <w:rFonts w:ascii="Times New Roman" w:hAnsi="Times New Roman" w:eastAsia="黑体" w:cs="Times New Roman"/>
          <w:b w:val="0"/>
          <w:bCs w:val="0"/>
          <w:lang w:val="zh-CN"/>
        </w:rPr>
        <w:t>提升生态系统质量和稳定性</w:t>
      </w:r>
    </w:p>
    <w:p>
      <w:pPr>
        <w:widowControl w:val="0"/>
        <w:spacing w:line="560" w:lineRule="exact"/>
        <w:ind w:firstLine="640" w:firstLineChars="200"/>
        <w:jc w:val="both"/>
        <w:rPr>
          <w:rFonts w:ascii="Times New Roman" w:hAnsi="Times New Roman" w:eastAsia="楷体" w:cs="Times New Roman"/>
        </w:rPr>
      </w:pPr>
      <w:r>
        <w:rPr>
          <w:rFonts w:ascii="Times New Roman" w:hAnsi="Times New Roman" w:eastAsia="仿宋_GB2312" w:cs="Times New Roman"/>
          <w:kern w:val="2"/>
          <w:sz w:val="32"/>
          <w:szCs w:val="32"/>
        </w:rPr>
        <w:t>大力推进“山水林田湖草”生态保护与修复项目建设，</w:t>
      </w:r>
      <w:r>
        <w:rPr>
          <w:rFonts w:ascii="Times New Roman" w:hAnsi="Times New Roman" w:eastAsia="仿宋_GB2312" w:cs="Times New Roman"/>
          <w:sz w:val="32"/>
          <w:szCs w:val="32"/>
        </w:rPr>
        <w:t>统筹夏浴湖等重点湖泊生态修复，推进夏浴湖生态湿地公园建设。坚决落实好长江“十年禁渔”。</w:t>
      </w:r>
      <w:r>
        <w:rPr>
          <w:rFonts w:ascii="Times New Roman" w:hAnsi="Times New Roman" w:eastAsia="仿宋_GB2312" w:cs="Times New Roman"/>
          <w:kern w:val="2"/>
          <w:sz w:val="32"/>
          <w:szCs w:val="32"/>
        </w:rPr>
        <w:t>全面修复水域生态环境，打造长江岸线修复景观带、夏浴湖湖泊修复生态区、新港凉山村村庄生态农业示范园等样板工程，构建沿江十里绿色长廊、环湖生态湿地、沿山绿色生态园三大生态廊道。大力实施矿山治理、地质灾害治理、受损山体修复和工矿废弃地复垦利用，持续开展“绿满西塞”行动，实现森林覆盖率逐年提升。</w:t>
      </w:r>
    </w:p>
    <w:p>
      <w:pPr>
        <w:pStyle w:val="4"/>
        <w:keepNext w:val="0"/>
        <w:keepLines w:val="0"/>
        <w:widowControl w:val="0"/>
        <w:spacing w:before="0" w:after="0" w:line="560" w:lineRule="exact"/>
        <w:ind w:firstLine="640" w:firstLineChars="200"/>
        <w:jc w:val="both"/>
        <w:rPr>
          <w:rFonts w:ascii="Times New Roman" w:hAnsi="Times New Roman" w:eastAsia="黑体" w:cs="Times New Roman"/>
          <w:b w:val="0"/>
          <w:bCs w:val="0"/>
          <w:lang w:val="zh-CN"/>
        </w:rPr>
      </w:pPr>
      <w:r>
        <w:rPr>
          <w:rFonts w:ascii="Times New Roman" w:hAnsi="Times New Roman" w:eastAsia="黑体" w:cs="Times New Roman"/>
          <w:b w:val="0"/>
          <w:bCs w:val="0"/>
          <w:lang w:val="zh-CN"/>
        </w:rPr>
        <w:t>三、积极创建国家生态文明建设示范区</w:t>
      </w:r>
    </w:p>
    <w:p>
      <w:pPr>
        <w:widowControl w:val="0"/>
        <w:spacing w:line="56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落实《黄石市西塞山区创建国家生态文明建设示范区规划（2019-2025）》，重点围绕建立健全生态制度、保护生态安全、优化生态空间、发展生态经济、践行生态生活、弘扬生态文化理念六大任务推进国家生态文明建设示范区创建工作。充分利用区域“山、水、林、田、湖”等特色要素，形成“三心领六区、三轴连三带”</w:t>
      </w:r>
      <w:r>
        <w:rPr>
          <w:rStyle w:val="12"/>
          <w:rFonts w:ascii="Times New Roman" w:hAnsi="Times New Roman" w:eastAsia="仿宋_GB2312" w:cs="Times New Roman"/>
          <w:sz w:val="32"/>
          <w:szCs w:val="32"/>
        </w:rPr>
        <w:footnoteReference w:id="0"/>
      </w:r>
      <w:r>
        <w:rPr>
          <w:rFonts w:ascii="Times New Roman" w:hAnsi="Times New Roman" w:eastAsia="仿宋_GB2312" w:cs="Times New Roman"/>
          <w:sz w:val="32"/>
          <w:szCs w:val="32"/>
        </w:rPr>
        <w:t>的空间结构特色，打造绿色发展、三产联动、生态宜居三位一体的国家生态文明建设示范区，力争将长江西塞山生态绿色发展示范区打造为长江经济带生态保护与绿色转型发展样板。围绕补齐城市污水收集管网、工业园区污水处理能力建设、开山塘口治理、自然生态保护、农村环境整治、工业废气治理六大短板，加强与相关部门</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横向衔接</w:t>
      </w:r>
      <w:r>
        <w:rPr>
          <w:rFonts w:hint="eastAsia" w:ascii="Times New Roman" w:hAnsi="Times New Roman" w:eastAsia="仿宋_GB2312" w:cs="Times New Roman"/>
          <w:sz w:val="32"/>
          <w:szCs w:val="32"/>
        </w:rPr>
        <w:t>，共同谋划好重大项目。</w:t>
      </w:r>
    </w:p>
    <w:p>
      <w:pPr>
        <w:widowControl w:val="0"/>
        <w:spacing w:line="56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将生态文明建设的理念、原则、目标等深刻融入和全面贯穿到西塞山区经济、政治、文化、社会建设的各方面和全过程。巩固生态产业体系，提升产业效能，建立节能高效的经济发展体系，形成一批国际国内知名的农业产品、工业产品、生态旅游系列品牌，构建现代农业、集约型工业、高端生态旅游业，全区秸秆综合利用率达到98%以上，畜禽粪污综合利用比例达</w:t>
      </w:r>
      <w:r>
        <w:rPr>
          <w:rFonts w:hint="eastAsia" w:ascii="Times New Roman" w:hAnsi="Times New Roman" w:eastAsia="仿宋_GB2312" w:cs="Times New Roman"/>
          <w:sz w:val="32"/>
          <w:szCs w:val="32"/>
        </w:rPr>
        <w:t>到</w:t>
      </w:r>
      <w:r>
        <w:rPr>
          <w:rFonts w:ascii="Times New Roman" w:hAnsi="Times New Roman" w:eastAsia="仿宋_GB2312" w:cs="Times New Roman"/>
          <w:sz w:val="32"/>
          <w:szCs w:val="32"/>
        </w:rPr>
        <w:t>85%以上，农膜回收利用率达到85%以上，城镇新建绿色建筑比例达到50%以上。深入开展环境污染防治与生态修复，</w:t>
      </w:r>
      <w:r>
        <w:rPr>
          <w:rFonts w:hint="eastAsia" w:ascii="Times New Roman" w:hAnsi="Times New Roman" w:eastAsia="仿宋_GB2312" w:cs="Times New Roman"/>
          <w:sz w:val="32"/>
          <w:szCs w:val="32"/>
        </w:rPr>
        <w:t>持续</w:t>
      </w:r>
      <w:r>
        <w:rPr>
          <w:rFonts w:ascii="Times New Roman" w:hAnsi="Times New Roman" w:eastAsia="仿宋_GB2312" w:cs="Times New Roman"/>
          <w:sz w:val="32"/>
          <w:szCs w:val="32"/>
        </w:rPr>
        <w:t>控制可吸入颗粒物、细颗粒物、化学需氧量、氨氮、二氧化硫、氮氧化物排放总量，地表水环境、空气环境、土壤环境质量得到稳步提升。城市基础设施基本完善，环境宜居程度显著提升。形成系统完整、高效健全的生态文明制度体系。生态文明成为社会主流价值观，全民以环保、低碳、节约的生活方式为时尚，绿色出行广泛普及。</w:t>
      </w:r>
    </w:p>
    <w:p>
      <w:pPr>
        <w:widowControl w:val="0"/>
        <w:spacing w:before="240" w:after="60" w:line="560" w:lineRule="exact"/>
        <w:jc w:val="center"/>
        <w:outlineLvl w:val="1"/>
        <w:rPr>
          <w:rFonts w:ascii="Times New Roman" w:hAnsi="Times New Roman" w:eastAsia="楷体_GB2312" w:cs="Times New Roman"/>
          <w:b/>
          <w:bCs/>
          <w:sz w:val="32"/>
          <w:szCs w:val="32"/>
        </w:rPr>
      </w:pPr>
      <w:bookmarkStart w:id="194" w:name="_Toc16143"/>
      <w:r>
        <w:rPr>
          <w:rFonts w:ascii="Times New Roman" w:hAnsi="Times New Roman" w:eastAsia="楷体_GB2312" w:cs="Times New Roman"/>
          <w:b/>
          <w:bCs/>
          <w:sz w:val="32"/>
          <w:szCs w:val="32"/>
        </w:rPr>
        <w:t>第二节  持续改善生态环境质量</w:t>
      </w:r>
      <w:bookmarkEnd w:id="194"/>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加大力度推进生态文明建设、解决生态环境问题，坚决打好蓝天、碧水、净土保卫战，推动西塞山区生态文明建设迈上新台阶。</w:t>
      </w:r>
    </w:p>
    <w:p>
      <w:pPr>
        <w:pStyle w:val="4"/>
        <w:keepNext w:val="0"/>
        <w:keepLines w:val="0"/>
        <w:widowControl w:val="0"/>
        <w:spacing w:before="0" w:after="0" w:line="560" w:lineRule="exact"/>
        <w:ind w:firstLine="640" w:firstLineChars="200"/>
        <w:jc w:val="both"/>
        <w:rPr>
          <w:rFonts w:ascii="Times New Roman" w:hAnsi="Times New Roman" w:eastAsia="黑体" w:cs="Times New Roman"/>
          <w:b w:val="0"/>
          <w:bCs w:val="0"/>
          <w:lang w:val="zh-CN"/>
        </w:rPr>
      </w:pPr>
      <w:bookmarkStart w:id="195" w:name="_Toc55555984"/>
      <w:bookmarkStart w:id="196" w:name="_Toc53743475"/>
      <w:bookmarkStart w:id="197" w:name="_Toc7045"/>
      <w:bookmarkStart w:id="198" w:name="_Toc54081288"/>
      <w:bookmarkStart w:id="199" w:name="_Toc29366"/>
      <w:bookmarkStart w:id="200" w:name="_Toc54081287"/>
      <w:bookmarkStart w:id="201" w:name="_Toc53743474"/>
      <w:bookmarkStart w:id="202" w:name="_Toc55555983"/>
      <w:r>
        <w:rPr>
          <w:rFonts w:ascii="Times New Roman" w:hAnsi="Times New Roman" w:eastAsia="黑体" w:cs="Times New Roman"/>
          <w:b w:val="0"/>
          <w:bCs w:val="0"/>
          <w:lang w:val="zh-CN"/>
        </w:rPr>
        <w:t>一、坚决打好蓝天保卫战</w:t>
      </w:r>
      <w:bookmarkEnd w:id="195"/>
      <w:bookmarkEnd w:id="196"/>
      <w:bookmarkEnd w:id="197"/>
      <w:bookmarkEnd w:id="198"/>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扎实开展大气污染防治，强化重点区域联防联控联治。推进重点工业企业节能减排，常态化落实控煤、降尘、秸秆禁烧、清洁生产工作，提高空气优良天数比例。围绕大气污染数字一体先行防治建设，积极谋划推进</w:t>
      </w:r>
      <w:r>
        <w:rPr>
          <w:rFonts w:hint="eastAsia" w:ascii="Times New Roman" w:hAnsi="Times New Roman" w:eastAsia="仿宋_GB2312" w:cs="Times New Roman"/>
          <w:sz w:val="32"/>
          <w:szCs w:val="32"/>
        </w:rPr>
        <w:t>冶钢</w:t>
      </w:r>
      <w:r>
        <w:rPr>
          <w:rFonts w:ascii="Times New Roman" w:hAnsi="Times New Roman" w:eastAsia="仿宋_GB2312" w:cs="Times New Roman"/>
          <w:sz w:val="32"/>
          <w:szCs w:val="32"/>
        </w:rPr>
        <w:t>超低排放改造、区域性大气网络在线系统建设等大气污染防治项目。开展联动应急响应，明确不同级别重污染天气预警应急管控清单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企业停产清单、限产措施清单、大宗物料错峰运输方案。实施大宗物料错峰运输，针对钢铁、水泥、建材、化工等涉及大宗物料运输的重点用车企业以及港口码头、物流基地，制定错峰运输方案，纳入重污染天气应急预案中。严控中心城区土方作业，除特殊要求外，禁止出土、拆迁、倒土等土石方作业。推进绿色交通，实施公交优先战略，大力推进天然气、新能源汽车。依法强制报废超过使用年限的船舶，限期淘汰水污染不能达到污染物排放标准的船舶，严禁新建水污染排放不达标船舶进入运输市场，积极开展港口靠港船舶使用岸电试点工作。力争2025年空气优良率达到85%以上，PM</w:t>
      </w:r>
      <w:r>
        <w:rPr>
          <w:rFonts w:ascii="Times New Roman" w:hAnsi="Times New Roman" w:eastAsia="仿宋_GB2312" w:cs="Times New Roman"/>
          <w:sz w:val="32"/>
          <w:szCs w:val="32"/>
          <w:vertAlign w:val="subscript"/>
        </w:rPr>
        <w:t>10</w:t>
      </w:r>
      <w:r>
        <w:rPr>
          <w:rFonts w:ascii="Times New Roman" w:hAnsi="Times New Roman" w:eastAsia="仿宋_GB2312" w:cs="Times New Roman"/>
          <w:sz w:val="32"/>
          <w:szCs w:val="32"/>
        </w:rPr>
        <w:t>平均浓度降至67微克/立方米以下，PM</w:t>
      </w:r>
      <w:r>
        <w:rPr>
          <w:rFonts w:ascii="Times New Roman" w:hAnsi="Times New Roman" w:eastAsia="仿宋_GB2312" w:cs="Times New Roman"/>
          <w:sz w:val="32"/>
          <w:szCs w:val="32"/>
          <w:vertAlign w:val="subscript"/>
        </w:rPr>
        <w:t>2.5</w:t>
      </w:r>
      <w:r>
        <w:rPr>
          <w:rFonts w:ascii="Times New Roman" w:hAnsi="Times New Roman" w:eastAsia="仿宋_GB2312" w:cs="Times New Roman"/>
          <w:sz w:val="32"/>
          <w:szCs w:val="32"/>
        </w:rPr>
        <w:t>平均浓度降至35微克/立方米以下。</w:t>
      </w:r>
    </w:p>
    <w:p>
      <w:pPr>
        <w:pStyle w:val="4"/>
        <w:keepNext w:val="0"/>
        <w:keepLines w:val="0"/>
        <w:widowControl w:val="0"/>
        <w:spacing w:before="0" w:after="0" w:line="560" w:lineRule="exact"/>
        <w:ind w:firstLine="640" w:firstLineChars="200"/>
        <w:jc w:val="both"/>
        <w:rPr>
          <w:rFonts w:ascii="Times New Roman" w:hAnsi="Times New Roman" w:eastAsia="黑体" w:cs="Times New Roman"/>
          <w:b w:val="0"/>
          <w:bCs w:val="0"/>
          <w:lang w:val="zh-CN"/>
        </w:rPr>
      </w:pPr>
      <w:r>
        <w:rPr>
          <w:rFonts w:ascii="Times New Roman" w:hAnsi="Times New Roman" w:eastAsia="黑体" w:cs="Times New Roman"/>
          <w:b w:val="0"/>
          <w:bCs w:val="0"/>
          <w:lang w:val="zh-CN"/>
        </w:rPr>
        <w:t>二、坚决打好碧水保卫战</w:t>
      </w:r>
      <w:bookmarkEnd w:id="199"/>
      <w:bookmarkEnd w:id="200"/>
      <w:bookmarkEnd w:id="201"/>
      <w:bookmarkEnd w:id="202"/>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聚焦“一江两湖”，以治水为龙头，落实河湖长制，推进水环境、水生态、水资源“三水共治”，完善长江西塞山段、夏浴湖等重点流域产业准入负面清单，防止城区黑臭水体反弹，加快农村小微水体治理。坚持和完善河湖长制，扎实推进长江岸线整治复绿。坚持水质监测常态化，切实保护和改善辖区重点水体水质。严格工业废水排放，进一步加大工业企业重点污染源治理力度，严格执行企业废水排放标准。实施磁湖水系二三级污水管网改造、西塞山区排洪港改造及西塞山区沿山居民区污水管网建设三大工程。重点完成石料山、陈家湾、八卦嘴、十三排等片区新建、改造20公里污水管网、全区范围内牧羊湖港、太子湾港、中窑湾港、冶钢港等25条排洪港截污及雨污分流改造及沿山私房39.5公里污水管网改造任务，推进雨污分流改造</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管网混接、错接点改造，切实提高生活污水集中收集效能。围绕水污染综合防治先行区建设，积极谋划推进入江入河排污口在线监测系统安装、栗子湖水质生态修复水质污染防治项目。</w:t>
      </w:r>
    </w:p>
    <w:p>
      <w:pPr>
        <w:pStyle w:val="4"/>
        <w:keepNext w:val="0"/>
        <w:keepLines w:val="0"/>
        <w:widowControl w:val="0"/>
        <w:spacing w:before="0" w:after="0" w:line="560" w:lineRule="exact"/>
        <w:ind w:firstLine="640" w:firstLineChars="200"/>
        <w:jc w:val="both"/>
        <w:rPr>
          <w:rFonts w:ascii="Times New Roman" w:hAnsi="Times New Roman" w:eastAsia="黑体" w:cs="Times New Roman"/>
          <w:b w:val="0"/>
          <w:bCs w:val="0"/>
          <w:lang w:val="zh-CN"/>
        </w:rPr>
      </w:pPr>
      <w:bookmarkStart w:id="203" w:name="_Toc55555985"/>
      <w:bookmarkStart w:id="204" w:name="_Toc53743476"/>
      <w:bookmarkStart w:id="205" w:name="_Toc12361"/>
      <w:bookmarkStart w:id="206" w:name="_Toc54081289"/>
      <w:r>
        <w:rPr>
          <w:rFonts w:ascii="Times New Roman" w:hAnsi="Times New Roman" w:eastAsia="黑体" w:cs="Times New Roman"/>
          <w:b w:val="0"/>
          <w:bCs w:val="0"/>
          <w:lang w:val="zh-CN"/>
        </w:rPr>
        <w:t>三、坚决打好净土保卫战</w:t>
      </w:r>
      <w:bookmarkEnd w:id="203"/>
      <w:bookmarkEnd w:id="204"/>
      <w:bookmarkEnd w:id="205"/>
      <w:bookmarkEnd w:id="206"/>
    </w:p>
    <w:p>
      <w:pPr>
        <w:widowControl w:val="0"/>
        <w:spacing w:line="560" w:lineRule="exact"/>
        <w:ind w:firstLine="624" w:firstLineChars="200"/>
        <w:jc w:val="both"/>
        <w:rPr>
          <w:rFonts w:ascii="Times New Roman" w:hAnsi="Times New Roman" w:eastAsia="仿宋_GB2312" w:cs="Times New Roman"/>
          <w:spacing w:val="-4"/>
          <w:sz w:val="32"/>
          <w:szCs w:val="32"/>
        </w:rPr>
      </w:pPr>
      <w:r>
        <w:rPr>
          <w:rFonts w:ascii="Times New Roman" w:hAnsi="Times New Roman" w:eastAsia="仿宋_GB2312" w:cs="Times New Roman"/>
          <w:spacing w:val="-4"/>
          <w:sz w:val="32"/>
          <w:szCs w:val="32"/>
        </w:rPr>
        <w:t>持续推进土壤污染治理修复，加大开山塘口综合利用。加强医疗废物、危险废物收集处理，重视新污染物治理。围绕土壤污染综合防治先行区建设。推进西塞山区土壤污染防控工程、土壤污染修复治理工程、磁湖南岸（原火车西站、小冶炼地块）土壤修复治理、辖区冶钢弹簧厂收储地块等项目。持续开展固体废物排查整治行动，全力推进固废暂存处理中心项目落地。开展西塞山区土壤污染状况详查，2021年底前，掌握重点行业企业用地中的污染地块分布及其环境风险情况。2022年底前，实现西塞山区土壤环境质量监测点位全覆盖。组织编制全区土壤污染防治规划及重金属污染综合防治规划，划定重点防控区域，明确近期和远期的防治目标、任务和政策措施，重点解决污染严重、威胁人民群众健康的重金属排放企业污染问题。建立污染场地清单，编制综合治理方案，搞好种植结构调整，综合防控土壤重金属污染，组织开展高浓度污染土壤修复技术示范工程，实施历史遗留问题治理试点工程，建立土壤污染治理与修复全过程监管制度。加强噪声污染防治，解决噪声扰民问题。</w:t>
      </w:r>
    </w:p>
    <w:p>
      <w:pPr>
        <w:widowControl w:val="0"/>
        <w:spacing w:before="240" w:after="60" w:line="560" w:lineRule="exact"/>
        <w:jc w:val="center"/>
        <w:outlineLvl w:val="1"/>
        <w:rPr>
          <w:rFonts w:ascii="Times New Roman" w:hAnsi="Times New Roman" w:eastAsia="楷体_GB2312" w:cs="Times New Roman"/>
          <w:b/>
          <w:bCs/>
          <w:sz w:val="32"/>
          <w:szCs w:val="32"/>
        </w:rPr>
      </w:pPr>
      <w:bookmarkStart w:id="207" w:name="_Toc4468"/>
      <w:r>
        <w:rPr>
          <w:rFonts w:ascii="Times New Roman" w:hAnsi="Times New Roman" w:eastAsia="楷体_GB2312" w:cs="Times New Roman"/>
          <w:b/>
          <w:bCs/>
          <w:sz w:val="32"/>
          <w:szCs w:val="32"/>
        </w:rPr>
        <w:t>第三节  大力推进绿色低碳发展</w:t>
      </w:r>
      <w:bookmarkEnd w:id="207"/>
    </w:p>
    <w:p>
      <w:pPr>
        <w:widowControl w:val="0"/>
        <w:spacing w:line="560" w:lineRule="exact"/>
        <w:ind w:firstLine="645"/>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大力发展循环经济，开展绿色生活创建行动，加快生态文明制度建设，促进经济社会发展全面绿色转型。</w:t>
      </w:r>
    </w:p>
    <w:p>
      <w:pPr>
        <w:pStyle w:val="4"/>
        <w:keepNext w:val="0"/>
        <w:keepLines w:val="0"/>
        <w:widowControl w:val="0"/>
        <w:spacing w:before="0" w:after="0" w:line="560" w:lineRule="exact"/>
        <w:ind w:firstLine="640" w:firstLineChars="200"/>
        <w:jc w:val="both"/>
        <w:rPr>
          <w:rFonts w:ascii="Times New Roman" w:hAnsi="Times New Roman" w:eastAsia="黑体" w:cs="Times New Roman"/>
          <w:b w:val="0"/>
          <w:bCs w:val="0"/>
          <w:lang w:val="zh-CN"/>
        </w:rPr>
      </w:pPr>
      <w:r>
        <w:rPr>
          <w:rFonts w:ascii="Times New Roman" w:hAnsi="Times New Roman" w:eastAsia="黑体" w:cs="Times New Roman"/>
          <w:b w:val="0"/>
          <w:bCs w:val="0"/>
          <w:lang w:val="zh-CN"/>
        </w:rPr>
        <w:t>一、构建资源循环利用体系</w:t>
      </w:r>
    </w:p>
    <w:p>
      <w:pPr>
        <w:widowControl w:val="0"/>
        <w:spacing w:line="560" w:lineRule="exact"/>
        <w:ind w:firstLine="645"/>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推进重点行业和重要领域绿色化改造，</w:t>
      </w:r>
      <w:bookmarkStart w:id="208" w:name="_Hlk60316922"/>
      <w:r>
        <w:rPr>
          <w:rFonts w:ascii="Times New Roman" w:hAnsi="Times New Roman" w:eastAsia="仿宋_GB2312" w:cs="Times New Roman"/>
          <w:sz w:val="32"/>
          <w:szCs w:val="32"/>
        </w:rPr>
        <w:t>大力发展循环经济。</w:t>
      </w:r>
      <w:bookmarkEnd w:id="208"/>
      <w:r>
        <w:rPr>
          <w:rFonts w:ascii="Times New Roman" w:hAnsi="Times New Roman" w:eastAsia="仿宋_GB2312" w:cs="Times New Roman"/>
          <w:sz w:val="32"/>
          <w:szCs w:val="32"/>
        </w:rPr>
        <w:t>实施“洁产”行动，严格执行产业准入标准，推进重点行业企业环保设施提标改造和园区循环化改造，重点推行“无害化、低排放、低消耗、高效益、可持续”的循环型农业发展模式和“链接共生、生态耦合”的工业循环经济发展模式。持续开展大气污染防治和土壤污染风险防控，推进节能降耗减排，创建绿色企业、绿色园区。集约节约用地，落实建设用地空间管制要求。节约化控制用水，全面实施用水总量控制和重点用水行业定额管理制度，推进节水型社会建设。资源化利用废弃物，推进废旧金属、废弃电器、废弃物资等资源的循环利用、规模利用和高值利用。控制固废排放，工业固体废物处置利用率达100%以上。</w:t>
      </w:r>
    </w:p>
    <w:p>
      <w:pPr>
        <w:pStyle w:val="4"/>
        <w:keepNext w:val="0"/>
        <w:keepLines w:val="0"/>
        <w:widowControl w:val="0"/>
        <w:spacing w:before="0" w:after="0" w:line="560" w:lineRule="exact"/>
        <w:ind w:firstLine="640" w:firstLineChars="200"/>
        <w:jc w:val="both"/>
        <w:rPr>
          <w:rFonts w:ascii="Times New Roman" w:hAnsi="Times New Roman" w:eastAsia="黑体" w:cs="Times New Roman"/>
          <w:b w:val="0"/>
          <w:bCs w:val="0"/>
          <w:lang w:val="zh-CN"/>
        </w:rPr>
      </w:pPr>
      <w:r>
        <w:rPr>
          <w:rFonts w:ascii="Times New Roman" w:hAnsi="Times New Roman" w:eastAsia="黑体" w:cs="Times New Roman"/>
          <w:b w:val="0"/>
          <w:bCs w:val="0"/>
          <w:lang w:val="zh-CN"/>
        </w:rPr>
        <w:t>二、开展绿色生活创建行动</w:t>
      </w:r>
    </w:p>
    <w:p>
      <w:pPr>
        <w:spacing w:line="560" w:lineRule="exact"/>
        <w:ind w:firstLine="640" w:firstLineChars="200"/>
        <w:jc w:val="both"/>
        <w:rPr>
          <w:rFonts w:ascii="Times New Roman" w:hAnsi="Times New Roman" w:eastAsia="楷体_GB2312" w:cs="Times New Roman"/>
          <w:b/>
          <w:bCs/>
          <w:sz w:val="32"/>
          <w:szCs w:val="32"/>
        </w:rPr>
      </w:pPr>
      <w:r>
        <w:rPr>
          <w:rFonts w:ascii="Times New Roman" w:hAnsi="Times New Roman" w:eastAsia="仿宋_GB2312" w:cs="Times New Roman"/>
          <w:sz w:val="32"/>
          <w:szCs w:val="32"/>
        </w:rPr>
        <w:t>推动能源清洁低碳安全高效利用，开展绿色生活创建行动，积极开展节约型机关、绿色家庭、绿色学校、绿色社区、绿色出行、绿色商场、绿色建筑等创建行动，广泛宣传推广简约适度、绿色低碳、文明健康的生活理念和生活方式，形成崇尚绿色生活的社会氛围。推行垃圾分类和减量化、资源化，实现全域生活垃圾无害化处置，建设集中式与分散式相结合的餐厨废弃物资源化利用和无害化处理设施，提高餐厨垃圾和厨余垃圾的收集转运能力，力争实现全市餐厨垃圾和厨余垃圾无害化处理全覆盖。加快推进生态文明示范区建设。到2025年，生态文明理念更加深入人心，绿色生活方式得到普遍推广。</w:t>
      </w:r>
    </w:p>
    <w:p>
      <w:pPr>
        <w:pStyle w:val="4"/>
        <w:keepNext w:val="0"/>
        <w:keepLines w:val="0"/>
        <w:widowControl w:val="0"/>
        <w:spacing w:before="0" w:after="0" w:line="560" w:lineRule="exact"/>
        <w:ind w:firstLine="640" w:firstLineChars="200"/>
        <w:jc w:val="both"/>
        <w:rPr>
          <w:rFonts w:ascii="Times New Roman" w:hAnsi="Times New Roman" w:eastAsia="黑体" w:cs="Times New Roman"/>
          <w:b w:val="0"/>
          <w:bCs w:val="0"/>
          <w:lang w:val="zh-CN"/>
        </w:rPr>
      </w:pPr>
      <w:r>
        <w:rPr>
          <w:rFonts w:ascii="Times New Roman" w:hAnsi="Times New Roman" w:eastAsia="黑体" w:cs="Times New Roman"/>
          <w:b w:val="0"/>
          <w:bCs w:val="0"/>
          <w:lang w:val="zh-CN"/>
        </w:rPr>
        <w:t>三、健全生态文明制度</w:t>
      </w:r>
    </w:p>
    <w:p>
      <w:pPr>
        <w:widowControl w:val="0"/>
        <w:spacing w:line="560" w:lineRule="exact"/>
        <w:ind w:firstLine="645"/>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强化国土空间规划和用途管制，落实生态保护红线、永久基本农田、城镇开发边界三条控制线，强化“三区三线”约束作用。健全自然资源资产产权制度，完善市场化、多元化的生态保护补偿机制。完善生态保护补偿制度。积极开发和拓展生态保护补偿资金来源，探索设立生态保护补偿基金。加快落实排污权有偿使用制度和排污许可制度。严格落实建设项目污染物排放总量等量或减量置换，从源头控制污染物排放量，严把建设项目审批关。探索互联网+生态文明，推进生态环境物联网与管理支撑建设工程，建立和完善重点企业能源消费监测平台及污染物排放在线监测体系。</w:t>
      </w:r>
      <w:r>
        <w:rPr>
          <w:rFonts w:hint="eastAsia" w:ascii="Times New Roman" w:hAnsi="Times New Roman" w:eastAsia="仿宋_GB2312" w:cs="Times New Roman"/>
          <w:sz w:val="32"/>
          <w:szCs w:val="32"/>
        </w:rPr>
        <w:t>严查重点生态环境违法案件，保持严管重罚高压态势。</w:t>
      </w:r>
      <w:r>
        <w:rPr>
          <w:rFonts w:ascii="Times New Roman" w:hAnsi="Times New Roman" w:eastAsia="仿宋_GB2312" w:cs="Times New Roman"/>
          <w:sz w:val="32"/>
          <w:szCs w:val="32"/>
        </w:rPr>
        <w:t>健全生态文明建设长效考核机制，将生态文明建设推进情况纳入各级领导班子和领导干部考核评价体系。严明生态环境保护责任和政府监管责任，完善和落实领导干部自然资源资产离任审计、环保督查等制度机制，深入实施河湖长制。</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0" w:type="auto"/>
            <w:noWrap w:val="0"/>
            <w:vAlign w:val="top"/>
          </w:tcPr>
          <w:p>
            <w:pPr>
              <w:widowControl w:val="0"/>
              <w:spacing w:line="400" w:lineRule="exact"/>
              <w:jc w:val="center"/>
              <w:rPr>
                <w:rFonts w:ascii="Times New Roman" w:hAnsi="Times New Roman" w:eastAsia="仿宋_GB2312" w:cs="Times New Roman"/>
                <w:b/>
                <w:bCs/>
                <w:sz w:val="28"/>
                <w:szCs w:val="28"/>
              </w:rPr>
            </w:pPr>
            <w:r>
              <w:rPr>
                <w:rFonts w:ascii="Times New Roman" w:hAnsi="Times New Roman" w:eastAsia="仿宋_GB2312" w:cs="Times New Roman"/>
                <w:b/>
                <w:bCs/>
              </w:rPr>
              <w:t>专栏10-1 长江大保护综合整治提升工程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0" w:type="auto"/>
            <w:noWrap w:val="0"/>
            <w:vAlign w:val="top"/>
          </w:tcPr>
          <w:p>
            <w:pPr>
              <w:widowControl w:val="0"/>
              <w:spacing w:line="38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夏浴湖流域综合治理工程：</w:t>
            </w:r>
            <w:r>
              <w:rPr>
                <w:rFonts w:hint="eastAsia" w:ascii="仿宋_GB2312" w:hAnsi="仿宋_GB2312" w:eastAsia="仿宋_GB2312" w:cs="仿宋_GB2312"/>
                <w:sz w:val="24"/>
                <w:szCs w:val="24"/>
              </w:rPr>
              <w:t>新建夏浴湖中心排洪港箱涵建设、湖底塘清淤、固废清运、水土保持治理和上游湖与下游湖水系连通等工程；</w:t>
            </w:r>
          </w:p>
          <w:p>
            <w:pPr>
              <w:widowControl w:val="0"/>
              <w:spacing w:line="38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长江岸线综合整治工程：</w:t>
            </w:r>
            <w:r>
              <w:rPr>
                <w:rFonts w:hint="eastAsia" w:ascii="仿宋_GB2312" w:hAnsi="仿宋_GB2312" w:eastAsia="仿宋_GB2312" w:cs="仿宋_GB2312"/>
                <w:sz w:val="24"/>
                <w:szCs w:val="24"/>
              </w:rPr>
              <w:t>14公里长江岸线“四乱”清理以及岸线的生态修复和综合治理；</w:t>
            </w:r>
          </w:p>
          <w:p>
            <w:pPr>
              <w:widowControl w:val="0"/>
              <w:spacing w:line="38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河湖小流域水土保持生态治理工程：</w:t>
            </w:r>
            <w:r>
              <w:rPr>
                <w:rFonts w:hint="eastAsia" w:ascii="仿宋_GB2312" w:hAnsi="仿宋_GB2312" w:eastAsia="仿宋_GB2312" w:cs="仿宋_GB2312"/>
                <w:sz w:val="24"/>
                <w:szCs w:val="24"/>
              </w:rPr>
              <w:t>河口镇河湖、港渠等小微水体的水生态修复和水环境综合治理；</w:t>
            </w:r>
          </w:p>
          <w:p>
            <w:pPr>
              <w:widowControl w:val="0"/>
              <w:spacing w:line="38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智慧河湖创建工程：</w:t>
            </w:r>
            <w:r>
              <w:rPr>
                <w:rFonts w:hint="eastAsia" w:ascii="仿宋_GB2312" w:hAnsi="仿宋_GB2312" w:eastAsia="仿宋_GB2312" w:cs="仿宋_GB2312"/>
                <w:sz w:val="24"/>
                <w:szCs w:val="24"/>
              </w:rPr>
              <w:t>纳入河湖长制的13条重要水体引入大数据、移动应用等先进技术，安装视频监控点，全面推行河道APP管理系统，实现信息化管人、智能化管河的长效管理；</w:t>
            </w:r>
          </w:p>
          <w:p>
            <w:pPr>
              <w:widowControl w:val="0"/>
              <w:spacing w:line="38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沿江通道绿化和景观提升工程：</w:t>
            </w:r>
            <w:r>
              <w:rPr>
                <w:rFonts w:hint="eastAsia" w:ascii="仿宋_GB2312" w:hAnsi="仿宋_GB2312" w:eastAsia="仿宋_GB2312" w:cs="仿宋_GB2312"/>
                <w:sz w:val="24"/>
                <w:szCs w:val="24"/>
              </w:rPr>
              <w:t>在河西大道与长江干堤之间宜林地段种植乌桕、枫香、塔柏、银杏等景观树；在志和大道道路两旁7公里沿线，种植香樟、楠树等行道树，提升长江沿线整体形象；</w:t>
            </w:r>
          </w:p>
          <w:p>
            <w:pPr>
              <w:widowControl w:val="0"/>
              <w:spacing w:line="38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开山塘口绿化养护工程：</w:t>
            </w:r>
            <w:r>
              <w:rPr>
                <w:rFonts w:hint="eastAsia" w:ascii="仿宋_GB2312" w:hAnsi="仿宋_GB2312" w:eastAsia="仿宋_GB2312" w:cs="仿宋_GB2312"/>
                <w:sz w:val="24"/>
                <w:szCs w:val="24"/>
              </w:rPr>
              <w:t>对八泉和河口新综合治理的6个塘口和李家坊5个市级移交塘口的绿化养护；</w:t>
            </w:r>
          </w:p>
          <w:p>
            <w:pPr>
              <w:widowControl w:val="0"/>
              <w:spacing w:line="38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沿江防护林森林资源升级改造工程：</w:t>
            </w:r>
            <w:r>
              <w:rPr>
                <w:rFonts w:hint="eastAsia" w:ascii="仿宋_GB2312" w:hAnsi="仿宋_GB2312" w:eastAsia="仿宋_GB2312" w:cs="仿宋_GB2312"/>
                <w:sz w:val="24"/>
                <w:szCs w:val="24"/>
              </w:rPr>
              <w:t>道士洑堤段、合兴闸两侧堤段、牯牛洲村委会和月亮湾堤段、三角桥堤段沿江和河口镇沿山低产灌木林和杂木林的360亩林木实施提升改造和水土流失、生态修复治理；</w:t>
            </w:r>
          </w:p>
          <w:p>
            <w:pPr>
              <w:widowControl w:val="0"/>
              <w:spacing w:line="38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河口镇小微水体综合治理工程：</w:t>
            </w:r>
            <w:r>
              <w:rPr>
                <w:rFonts w:hint="eastAsia" w:ascii="仿宋_GB2312" w:hAnsi="仿宋_GB2312" w:eastAsia="仿宋_GB2312" w:cs="仿宋_GB2312"/>
                <w:sz w:val="24"/>
                <w:szCs w:val="24"/>
              </w:rPr>
              <w:t>重点对河口镇14条塘、渠、港作为小微水体纳入河湖长制治理体系，进行水系周边绿化净化和港体生态修复。</w:t>
            </w:r>
          </w:p>
          <w:p>
            <w:pPr>
              <w:widowControl w:val="0"/>
              <w:spacing w:line="38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长江通江涵闸水质提升工程：</w:t>
            </w:r>
            <w:r>
              <w:rPr>
                <w:rFonts w:hint="eastAsia" w:ascii="仿宋_GB2312" w:hAnsi="仿宋_GB2312" w:eastAsia="仿宋_GB2312" w:cs="仿宋_GB2312"/>
                <w:sz w:val="24"/>
                <w:szCs w:val="24"/>
              </w:rPr>
              <w:t>对全区重要通江涵闸安装水质在线自动监测系统，实现重点入江排口自动监测全覆盖，提高入江排口水质预警监测能力；</w:t>
            </w:r>
          </w:p>
          <w:p>
            <w:pPr>
              <w:widowControl w:val="0"/>
              <w:spacing w:line="38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栗子湖流域湿地综合治理工程：</w:t>
            </w:r>
            <w:r>
              <w:rPr>
                <w:rFonts w:hint="eastAsia" w:ascii="仿宋_GB2312" w:hAnsi="仿宋_GB2312" w:eastAsia="仿宋_GB2312" w:cs="仿宋_GB2312"/>
                <w:sz w:val="24"/>
                <w:szCs w:val="24"/>
              </w:rPr>
              <w:t>对栗子湖、牛尾湖、春湖尾塘养殖水面进行截污和综合利用，建立新港黑天鹅湿地保护区；建设栗子湖流域亲水步和新港村环大冶湖港截污等工程；</w:t>
            </w:r>
          </w:p>
          <w:p>
            <w:pPr>
              <w:widowControl w:val="0"/>
              <w:spacing w:line="380" w:lineRule="exact"/>
              <w:ind w:firstLine="439" w:firstLineChars="183"/>
              <w:rPr>
                <w:rFonts w:ascii="Times New Roman" w:hAnsi="Times New Roman" w:eastAsia="仿宋_GB2312" w:cs="Times New Roman"/>
              </w:rPr>
            </w:pPr>
            <w:r>
              <w:rPr>
                <w:rFonts w:hint="eastAsia" w:ascii="仿宋_GB2312" w:hAnsi="仿宋_GB2312" w:eastAsia="仿宋_GB2312" w:cs="仿宋_GB2312"/>
                <w:b/>
                <w:bCs/>
                <w:sz w:val="24"/>
                <w:szCs w:val="24"/>
              </w:rPr>
              <w:t>黄思湾林场综合开发利用工程：</w:t>
            </w:r>
            <w:r>
              <w:rPr>
                <w:rFonts w:hint="eastAsia" w:ascii="仿宋_GB2312" w:hAnsi="仿宋_GB2312" w:eastAsia="仿宋_GB2312" w:cs="仿宋_GB2312"/>
                <w:sz w:val="24"/>
                <w:szCs w:val="24"/>
              </w:rPr>
              <w:t>对黄思湾林场3660亩灌木林的绿化升级和综合开发利用。</w:t>
            </w:r>
          </w:p>
        </w:tc>
      </w:tr>
    </w:tbl>
    <w:p>
      <w:pPr>
        <w:widowControl w:val="0"/>
        <w:spacing w:line="560" w:lineRule="exact"/>
        <w:jc w:val="both"/>
        <w:rPr>
          <w:rFonts w:ascii="Times New Roman" w:hAnsi="Times New Roman" w:cs="Times New Roman"/>
        </w:rPr>
        <w:sectPr>
          <w:pgSz w:w="11906" w:h="16838"/>
          <w:pgMar w:top="2098" w:right="1531" w:bottom="1985" w:left="1531" w:header="851" w:footer="992" w:gutter="0"/>
          <w:cols w:space="720" w:num="1"/>
          <w:docGrid w:type="linesAndChars" w:linePitch="312" w:charSpace="0"/>
        </w:sectPr>
      </w:pPr>
      <w:bookmarkStart w:id="209" w:name="_Toc47971154"/>
    </w:p>
    <w:p>
      <w:pPr>
        <w:widowControl w:val="0"/>
        <w:spacing w:before="240" w:after="100" w:afterAutospacing="1" w:line="560" w:lineRule="exact"/>
        <w:jc w:val="center"/>
        <w:outlineLvl w:val="0"/>
        <w:rPr>
          <w:rFonts w:ascii="Times New Roman" w:hAnsi="Times New Roman" w:eastAsia="黑体" w:cs="Times New Roman"/>
          <w:kern w:val="32"/>
          <w:sz w:val="32"/>
          <w:szCs w:val="32"/>
        </w:rPr>
      </w:pPr>
      <w:bookmarkStart w:id="210" w:name="_Toc1623"/>
      <w:r>
        <w:rPr>
          <w:rFonts w:ascii="Times New Roman" w:hAnsi="Times New Roman" w:eastAsia="黑体" w:cs="Times New Roman"/>
          <w:kern w:val="32"/>
          <w:sz w:val="32"/>
          <w:szCs w:val="32"/>
        </w:rPr>
        <w:t xml:space="preserve">第十一章  </w:t>
      </w:r>
      <w:bookmarkEnd w:id="209"/>
      <w:r>
        <w:rPr>
          <w:rFonts w:ascii="Times New Roman" w:hAnsi="Times New Roman" w:eastAsia="黑体" w:cs="Times New Roman"/>
          <w:kern w:val="32"/>
          <w:sz w:val="32"/>
          <w:szCs w:val="32"/>
        </w:rPr>
        <w:t>全力做好民生保障 提升基层善治水平</w:t>
      </w:r>
      <w:bookmarkEnd w:id="210"/>
    </w:p>
    <w:p>
      <w:pPr>
        <w:widowControl w:val="0"/>
        <w:spacing w:line="56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积极回应人民群众新期待，补齐民生领域短板，扎实推动共同富裕，不断增强人民群众获得感、幸福感。</w:t>
      </w:r>
    </w:p>
    <w:p>
      <w:pPr>
        <w:widowControl w:val="0"/>
        <w:spacing w:before="240" w:after="60" w:line="560" w:lineRule="exact"/>
        <w:jc w:val="center"/>
        <w:outlineLvl w:val="1"/>
        <w:rPr>
          <w:rFonts w:ascii="Times New Roman" w:hAnsi="Times New Roman" w:eastAsia="楷体_GB2312" w:cs="Times New Roman"/>
          <w:b/>
          <w:bCs/>
          <w:sz w:val="32"/>
          <w:szCs w:val="32"/>
        </w:rPr>
      </w:pPr>
      <w:bookmarkStart w:id="211" w:name="_Toc28519"/>
      <w:r>
        <w:rPr>
          <w:rFonts w:ascii="Times New Roman" w:hAnsi="Times New Roman" w:eastAsia="楷体_GB2312" w:cs="Times New Roman"/>
          <w:b/>
          <w:bCs/>
          <w:sz w:val="32"/>
          <w:szCs w:val="32"/>
        </w:rPr>
        <w:t>第一节  提高就业创业质量</w:t>
      </w:r>
      <w:bookmarkEnd w:id="211"/>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坚持做好稳就业工作，注重发展吸收就业能力强的服务业、劳动密集型加工企业和中小技术企业，努力扩大就业岗位。制定出台《西塞山区支持企业用工的若干意见》，积极探索建立区用工联盟，推动重点企业错峰用工。落实重点群体就业扶持政策，确保零就业家庭动态清零；加强职业技能培训，推动再就业人员向创业型人才转变，以更充分更高质量就业促增收。深入实施“我选湖北•西塞起航”计划，积极引导大学生来区实习实训、就业见习。促进重点人群就业，统筹城乡就业，全面开展充分就业社区创建，落定失业登记常住地服务，加强就业援助，规范公益性岗位开发管理。落实《推进招商引资促进高质量发展的若干意见》，通过各项财税、金融、奖励等扶持政策，为中小微企业创造更优发展环境，鼓励多种形式的创业，推动就业困难人员向创业型人才转变。加强失业风险监测，扩大失业保险覆盖范围，更好保障失业人员基本生活。</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3" w:type="dxa"/>
            <w:noWrap w:val="0"/>
            <w:vAlign w:val="top"/>
          </w:tcPr>
          <w:p>
            <w:pPr>
              <w:widowControl w:val="0"/>
              <w:spacing w:line="400" w:lineRule="exact"/>
              <w:jc w:val="center"/>
              <w:rPr>
                <w:rFonts w:ascii="Times New Roman" w:hAnsi="Times New Roman" w:eastAsia="仿宋_GB2312" w:cs="Times New Roman"/>
                <w:b/>
                <w:bCs/>
                <w:sz w:val="28"/>
                <w:szCs w:val="28"/>
              </w:rPr>
            </w:pPr>
            <w:r>
              <w:rPr>
                <w:rFonts w:ascii="Times New Roman" w:hAnsi="Times New Roman" w:eastAsia="仿宋_GB2312" w:cs="Times New Roman"/>
                <w:b/>
                <w:bCs/>
              </w:rPr>
              <w:t>专栏11-1 政策支持行动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903" w:type="dxa"/>
            <w:noWrap w:val="0"/>
            <w:vAlign w:val="top"/>
          </w:tcPr>
          <w:p>
            <w:pPr>
              <w:widowControl w:val="0"/>
              <w:spacing w:line="380" w:lineRule="exact"/>
              <w:ind w:firstLine="420" w:firstLineChars="200"/>
              <w:jc w:val="both"/>
              <w:rPr>
                <w:rFonts w:ascii="Times New Roman" w:hAnsi="Times New Roman" w:eastAsia="仿宋_GB2312" w:cs="Times New Roman"/>
              </w:rPr>
            </w:pPr>
            <w:r>
              <w:rPr>
                <w:rFonts w:ascii="Times New Roman" w:hAnsi="Times New Roman" w:eastAsia="仿宋_GB2312" w:cs="Times New Roman"/>
                <w:b/>
                <w:bCs/>
              </w:rPr>
              <w:t>支持落户。</w:t>
            </w:r>
            <w:r>
              <w:rPr>
                <w:rFonts w:ascii="Times New Roman" w:hAnsi="Times New Roman" w:eastAsia="仿宋_GB2312" w:cs="Times New Roman"/>
              </w:rPr>
              <w:t>给予创新创业团队成员及高层次创业人才每人每月最高2000元的生活补贴，连续补助3年。在西塞山区首次购买住房的，给予购房总金额50%、最高20万元安居补助。根据企业规模和职工人数，由西塞山区提供100—1000</w:t>
            </w:r>
            <w:r>
              <w:rPr>
                <w:rFonts w:ascii="Times New Roman" w:hAnsi="Times New Roman" w:eastAsia="Batang" w:cs="Times New Roman"/>
              </w:rPr>
              <w:t>㎡</w:t>
            </w:r>
            <w:r>
              <w:rPr>
                <w:rFonts w:ascii="Times New Roman" w:hAnsi="Times New Roman" w:eastAsia="仿宋_GB2312" w:cs="Times New Roman"/>
              </w:rPr>
              <w:t>办公厂房或厂房租金补贴，连续补贴3年。需购置土地实施产业化的，按最高土地出让价格30%的比例给予补助基础设施建设。对民营企业建设“双创”平台的，按每个入孵企业每月500-1000元的标准给予补贴，推动民营企业现有“双创”平台提档升级。</w:t>
            </w:r>
          </w:p>
          <w:p>
            <w:pPr>
              <w:widowControl w:val="0"/>
              <w:spacing w:line="380" w:lineRule="exact"/>
              <w:ind w:firstLine="420" w:firstLineChars="200"/>
              <w:jc w:val="both"/>
              <w:rPr>
                <w:rFonts w:ascii="Times New Roman" w:hAnsi="Times New Roman" w:eastAsia="仿宋_GB2312" w:cs="Times New Roman"/>
              </w:rPr>
            </w:pPr>
            <w:r>
              <w:rPr>
                <w:rFonts w:ascii="Times New Roman" w:hAnsi="Times New Roman" w:eastAsia="仿宋_GB2312" w:cs="Times New Roman"/>
                <w:b/>
                <w:bCs/>
              </w:rPr>
              <w:t>税收贡献奖励。</w:t>
            </w:r>
            <w:r>
              <w:rPr>
                <w:rFonts w:ascii="Times New Roman" w:hAnsi="Times New Roman" w:eastAsia="仿宋_GB2312" w:cs="Times New Roman"/>
              </w:rPr>
              <w:t>创新创业领军团队及高层次创业人才创办的企业，按其对区级财政贡献情况，连续3年给予区级留存部分的100%奖励。</w:t>
            </w:r>
          </w:p>
          <w:p>
            <w:pPr>
              <w:widowControl w:val="0"/>
              <w:spacing w:line="380" w:lineRule="exact"/>
              <w:ind w:firstLine="420" w:firstLineChars="200"/>
              <w:jc w:val="both"/>
              <w:rPr>
                <w:rFonts w:ascii="Times New Roman" w:hAnsi="Times New Roman" w:eastAsia="仿宋_GB2312" w:cs="Times New Roman"/>
              </w:rPr>
            </w:pPr>
            <w:r>
              <w:rPr>
                <w:rFonts w:ascii="Times New Roman" w:hAnsi="Times New Roman" w:eastAsia="仿宋_GB2312" w:cs="Times New Roman"/>
                <w:b/>
                <w:bCs/>
              </w:rPr>
              <w:t>贷款贴息。</w:t>
            </w:r>
            <w:r>
              <w:rPr>
                <w:rFonts w:ascii="Times New Roman" w:hAnsi="Times New Roman" w:eastAsia="仿宋_GB2312" w:cs="Times New Roman"/>
              </w:rPr>
              <w:t>创办企业获得银行等贷款，给予当年贷款利息额75%，最高50万元的贴息，连续补贴2年。</w:t>
            </w:r>
          </w:p>
          <w:p>
            <w:pPr>
              <w:widowControl w:val="0"/>
              <w:spacing w:line="380" w:lineRule="exact"/>
              <w:ind w:firstLine="420" w:firstLineChars="200"/>
              <w:jc w:val="both"/>
              <w:rPr>
                <w:rFonts w:ascii="Times New Roman" w:hAnsi="Times New Roman" w:eastAsia="仿宋_GB2312" w:cs="Times New Roman"/>
              </w:rPr>
            </w:pPr>
            <w:r>
              <w:rPr>
                <w:rFonts w:ascii="Times New Roman" w:hAnsi="Times New Roman" w:eastAsia="仿宋_GB2312" w:cs="Times New Roman"/>
                <w:b/>
                <w:bCs/>
              </w:rPr>
              <w:t>产品扶持。</w:t>
            </w:r>
            <w:r>
              <w:rPr>
                <w:rFonts w:ascii="Times New Roman" w:hAnsi="Times New Roman" w:eastAsia="仿宋_GB2312" w:cs="Times New Roman"/>
              </w:rPr>
              <w:t>研发的新技术、新产品、新服务，及时纳入政府采购目录；采用首购、订购等非招标采购以及政府购买服务的方式，支持推动新技术、新产品在西塞山区先试先行。</w:t>
            </w:r>
          </w:p>
          <w:p>
            <w:pPr>
              <w:widowControl w:val="0"/>
              <w:spacing w:line="380" w:lineRule="exact"/>
              <w:ind w:firstLine="420" w:firstLineChars="200"/>
              <w:jc w:val="both"/>
              <w:rPr>
                <w:rFonts w:ascii="Times New Roman" w:hAnsi="Times New Roman" w:eastAsia="仿宋_GB2312" w:cs="Times New Roman"/>
              </w:rPr>
            </w:pPr>
            <w:r>
              <w:rPr>
                <w:rFonts w:ascii="Times New Roman" w:hAnsi="Times New Roman" w:eastAsia="仿宋_GB2312" w:cs="Times New Roman"/>
                <w:b/>
                <w:bCs/>
              </w:rPr>
              <w:t>品牌培育奖励。</w:t>
            </w:r>
            <w:r>
              <w:rPr>
                <w:rFonts w:ascii="Times New Roman" w:hAnsi="Times New Roman" w:eastAsia="仿宋_GB2312" w:cs="Times New Roman"/>
              </w:rPr>
              <w:t>对获得国家驰名商标的企业，给予30万元奖励。对获得国家、省、市质量奖的企业，分别给予50万元、30万元、10万元奖励。对主持研制国际、国家、行业、区级标准的单位，每项分别给予50万元、30万元、20万元、10万元奖励。</w:t>
            </w:r>
          </w:p>
          <w:p>
            <w:pPr>
              <w:widowControl w:val="0"/>
              <w:spacing w:line="380" w:lineRule="exact"/>
              <w:ind w:firstLine="420" w:firstLineChars="200"/>
              <w:jc w:val="both"/>
              <w:rPr>
                <w:rFonts w:ascii="Times New Roman" w:hAnsi="Times New Roman" w:eastAsia="仿宋_GB2312" w:cs="Times New Roman"/>
              </w:rPr>
            </w:pPr>
            <w:r>
              <w:rPr>
                <w:rFonts w:ascii="Times New Roman" w:hAnsi="Times New Roman" w:eastAsia="仿宋_GB2312" w:cs="Times New Roman"/>
                <w:b/>
                <w:bCs/>
              </w:rPr>
              <w:t>支持企业上市。</w:t>
            </w:r>
            <w:r>
              <w:rPr>
                <w:rFonts w:ascii="Times New Roman" w:hAnsi="Times New Roman" w:eastAsia="仿宋_GB2312" w:cs="Times New Roman"/>
              </w:rPr>
              <w:t>对在境内外主板（创业板）上市企业、“新三板”及武汉股权托管交易中心挂牌的企业分别给予200万元、100万元、10万元奖励。</w:t>
            </w:r>
          </w:p>
          <w:p>
            <w:pPr>
              <w:widowControl w:val="0"/>
              <w:spacing w:line="380" w:lineRule="exact"/>
              <w:ind w:firstLine="420" w:firstLineChars="200"/>
              <w:jc w:val="both"/>
              <w:rPr>
                <w:rFonts w:ascii="Times New Roman" w:hAnsi="Times New Roman" w:eastAsia="仿宋_GB2312" w:cs="Times New Roman"/>
              </w:rPr>
            </w:pPr>
            <w:r>
              <w:rPr>
                <w:rFonts w:ascii="Times New Roman" w:hAnsi="Times New Roman" w:eastAsia="仿宋_GB2312" w:cs="Times New Roman"/>
                <w:b/>
                <w:bCs/>
              </w:rPr>
              <w:t>优化营商环境。</w:t>
            </w:r>
            <w:r>
              <w:rPr>
                <w:rFonts w:ascii="Times New Roman" w:hAnsi="Times New Roman" w:eastAsia="仿宋_GB2312" w:cs="Times New Roman"/>
              </w:rPr>
              <w:t>（1）规范收费标准。行政规费严格按照国家相关规定执行，各类服务性收费，按最低标准实行“一个口子打包”收取。（2）服务企业用工。大力实施“新黄石人”计划，实施“春风行动”、专项招聘、网络招聘等线上线下招工措施。民营企业吸纳16至24周岁失业青年参加就业见习的，按当地最低工资标准的60%给予企业最长6个月的就业见习补贴。民营企业吸纳贫困劳动力就业的，按照2000元/人的标准给予企业奖补。（3）送工中介奖励。对人力资源服务机构（站）等送工主体输送人员（工作时长不少于6个月）到民营企业的，按规定给予送工主体1000元/人标准的补助。（4）住宿及子女就学。按照企业职工需求，可为其申请办理入住政府人才公寓及公租房，享受前两年免租、后两年租金减半政策；并可按成本价购买政府人才公寓；企业高管子女享受市级子女入学政策；企业职工子女入学享受与本区居民子女入学同等待遇。（5）区执法部门到园区企业执法检查（环保局、应急管理局除外），须事先经区委、区政府许可。</w:t>
            </w:r>
          </w:p>
        </w:tc>
      </w:tr>
    </w:tbl>
    <w:p>
      <w:pPr>
        <w:widowControl w:val="0"/>
        <w:spacing w:before="240" w:after="60" w:line="560" w:lineRule="exact"/>
        <w:jc w:val="center"/>
        <w:outlineLvl w:val="1"/>
        <w:rPr>
          <w:rFonts w:ascii="Times New Roman" w:hAnsi="Times New Roman" w:eastAsia="楷体_GB2312" w:cs="Times New Roman"/>
          <w:b/>
          <w:bCs/>
          <w:sz w:val="32"/>
          <w:szCs w:val="32"/>
        </w:rPr>
      </w:pPr>
      <w:bookmarkStart w:id="212" w:name="_Toc31036"/>
      <w:r>
        <w:rPr>
          <w:rFonts w:ascii="Times New Roman" w:hAnsi="Times New Roman" w:eastAsia="楷体_GB2312" w:cs="Times New Roman"/>
          <w:b/>
          <w:bCs/>
          <w:sz w:val="32"/>
          <w:szCs w:val="32"/>
        </w:rPr>
        <w:t>第二节  优先发展教育事业</w:t>
      </w:r>
      <w:bookmarkEnd w:id="212"/>
    </w:p>
    <w:p>
      <w:pPr>
        <w:widowControl w:val="0"/>
        <w:spacing w:line="56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分步实施基础设施升级改造项目，加强数字化校园建设，进行信息化设备升级，建设智能化教学、智能化管理和智慧平安系统。加强师德师风建设，培养高素质教师队伍，深入推进“名校名师名课”工程。深化教育体制综合改革，创新完善“3+N”社会化督导体制机制，发挥督导综合效应。深化教育评价和激励机制改革，提升教育发展品质，提高教育治理现代化水平。探索集团化办学，深化办学体制改革，促进全区教育事业高质量发展。</w:t>
      </w:r>
    </w:p>
    <w:p>
      <w:pPr>
        <w:widowControl w:val="0"/>
        <w:spacing w:before="240" w:after="60" w:line="560" w:lineRule="exact"/>
        <w:jc w:val="center"/>
        <w:outlineLvl w:val="1"/>
        <w:rPr>
          <w:rFonts w:ascii="Times New Roman" w:hAnsi="Times New Roman" w:eastAsia="楷体_GB2312" w:cs="Times New Roman"/>
          <w:b/>
          <w:bCs/>
          <w:sz w:val="32"/>
          <w:szCs w:val="32"/>
        </w:rPr>
      </w:pPr>
      <w:bookmarkStart w:id="213" w:name="_Toc30754"/>
      <w:r>
        <w:rPr>
          <w:rFonts w:ascii="Times New Roman" w:hAnsi="Times New Roman" w:eastAsia="楷体_GB2312" w:cs="Times New Roman"/>
          <w:b/>
          <w:bCs/>
          <w:sz w:val="32"/>
          <w:szCs w:val="32"/>
        </w:rPr>
        <w:t>第三节  完善社会保障体系</w:t>
      </w:r>
      <w:bookmarkEnd w:id="213"/>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积极发展社会保险、社会救助、养老保障社会事业，全面建成覆盖全民、城乡统筹、权责清晰、保障适度、可持续的多层次社会保障体系。</w:t>
      </w:r>
    </w:p>
    <w:p>
      <w:pPr>
        <w:pStyle w:val="4"/>
        <w:keepNext w:val="0"/>
        <w:keepLines w:val="0"/>
        <w:widowControl w:val="0"/>
        <w:spacing w:before="0" w:after="0" w:line="560" w:lineRule="exact"/>
        <w:ind w:firstLine="640" w:firstLineChars="200"/>
        <w:jc w:val="both"/>
        <w:rPr>
          <w:rFonts w:ascii="Times New Roman" w:hAnsi="Times New Roman" w:eastAsia="黑体" w:cs="Times New Roman"/>
          <w:b w:val="0"/>
          <w:bCs w:val="0"/>
          <w:lang w:val="zh-CN"/>
        </w:rPr>
      </w:pPr>
      <w:r>
        <w:rPr>
          <w:rFonts w:ascii="Times New Roman" w:hAnsi="Times New Roman" w:eastAsia="黑体" w:cs="Times New Roman"/>
          <w:b w:val="0"/>
          <w:bCs w:val="0"/>
          <w:lang w:val="zh-CN"/>
        </w:rPr>
        <w:t>一、健全社会保险体系</w:t>
      </w:r>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抓好抓实社保扩面征缴，全面实施全民参保计划。推进机关事业单位养老保险制度改革。完善统一的城乡居民基本医疗保险制度和大病保险制度。深入整治拖欠农民工工资问题，保障农民工合法权益。建立社区、村干部工作报酬增长机制，适时调整岗位和绩效工资，提高社区、村工作人员保障水平。进一步做好退役军人三级服务保障体系建设，落实保险接续政策，切实做好“双拥模范城”创建工作。</w:t>
      </w:r>
    </w:p>
    <w:p>
      <w:pPr>
        <w:pStyle w:val="4"/>
        <w:keepNext w:val="0"/>
        <w:keepLines w:val="0"/>
        <w:widowControl w:val="0"/>
        <w:spacing w:before="0" w:after="0" w:line="560" w:lineRule="exact"/>
        <w:ind w:firstLine="640" w:firstLineChars="200"/>
        <w:jc w:val="both"/>
        <w:rPr>
          <w:rFonts w:ascii="Times New Roman" w:hAnsi="Times New Roman" w:eastAsia="黑体" w:cs="Times New Roman"/>
          <w:b w:val="0"/>
          <w:bCs w:val="0"/>
          <w:lang w:val="zh-CN"/>
        </w:rPr>
      </w:pPr>
      <w:r>
        <w:rPr>
          <w:rFonts w:ascii="Times New Roman" w:hAnsi="Times New Roman" w:eastAsia="黑体" w:cs="Times New Roman"/>
          <w:b w:val="0"/>
          <w:bCs w:val="0"/>
          <w:lang w:val="zh-CN"/>
        </w:rPr>
        <w:t>二、提升社会救助和社会福利水平</w:t>
      </w:r>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统筹城乡社会救助体系，完善最低生活保障制度。发展社会福利和慈善事业，执行孤老、孤儿、孤残人员的供养政策。完善农村留守儿童和妇女、老年人关爱服务体系。围绕弱势群体和群众需求，建立镇街临时救助金备用制度。强化困难群体救助，落实低保、抚恤补助等提标政策，兜牢困难群体基本生活保障底线。全面落实慈善法，健全慈善组织公开募捐、信息公开等制度，打造区级公益慈善品牌。发展残疾人事业，加强残疾康复服务。推进区残疾人康复中心建设。到“十四五”末，对生活不能自理的特困人员集中供养率达到55%以上。</w:t>
      </w:r>
    </w:p>
    <w:p>
      <w:pPr>
        <w:pStyle w:val="4"/>
        <w:keepNext w:val="0"/>
        <w:keepLines w:val="0"/>
        <w:widowControl w:val="0"/>
        <w:spacing w:before="0" w:after="0" w:line="560" w:lineRule="exact"/>
        <w:ind w:firstLine="640" w:firstLineChars="200"/>
        <w:jc w:val="both"/>
        <w:rPr>
          <w:rFonts w:ascii="Times New Roman" w:hAnsi="Times New Roman" w:eastAsia="黑体" w:cs="Times New Roman"/>
          <w:b w:val="0"/>
          <w:bCs w:val="0"/>
          <w:lang w:val="zh-CN"/>
        </w:rPr>
      </w:pPr>
      <w:r>
        <w:rPr>
          <w:rFonts w:ascii="Times New Roman" w:hAnsi="Times New Roman" w:eastAsia="黑体" w:cs="Times New Roman"/>
          <w:b w:val="0"/>
          <w:bCs w:val="0"/>
          <w:lang w:val="zh-CN"/>
        </w:rPr>
        <w:t>三、完善养老服务体系</w:t>
      </w:r>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加强老失地农民养老保障，提高养老补贴标准。健全完善居家为基础、社区为依托、机构为补充、医养相结合的养老服务体系，推进黄石市花园老年养护院、西塞山区老年养护院、十五冶医养项目建设，规划社区骨干网牧羊湖嵌入养老及河口镇农村福利院医养结合等项目建设及运行。力争到2025年社区居家养老服务中心建设达到90%以上，农村日间照料中心建设达到80%以上，建成“一刻钟”居家养老服务圈。</w:t>
      </w:r>
    </w:p>
    <w:p>
      <w:pPr>
        <w:widowControl w:val="0"/>
        <w:spacing w:before="240" w:after="60" w:line="560" w:lineRule="exact"/>
        <w:jc w:val="center"/>
        <w:outlineLvl w:val="1"/>
        <w:rPr>
          <w:rFonts w:ascii="Times New Roman" w:hAnsi="Times New Roman" w:eastAsia="楷体_GB2312" w:cs="Times New Roman"/>
          <w:b/>
          <w:bCs/>
          <w:sz w:val="32"/>
          <w:szCs w:val="32"/>
        </w:rPr>
      </w:pPr>
      <w:bookmarkStart w:id="214" w:name="_Toc9205"/>
      <w:r>
        <w:rPr>
          <w:rFonts w:ascii="Times New Roman" w:hAnsi="Times New Roman" w:eastAsia="楷体_GB2312" w:cs="Times New Roman"/>
          <w:b/>
          <w:bCs/>
          <w:sz w:val="32"/>
          <w:szCs w:val="32"/>
        </w:rPr>
        <w:t>第四节  推进健康西塞山建设</w:t>
      </w:r>
      <w:bookmarkEnd w:id="214"/>
    </w:p>
    <w:p>
      <w:pPr>
        <w:widowControl w:val="0"/>
        <w:spacing w:line="560" w:lineRule="exact"/>
        <w:ind w:firstLine="640" w:firstLineChars="200"/>
        <w:jc w:val="both"/>
        <w:rPr>
          <w:rFonts w:ascii="Times New Roman" w:hAnsi="Times New Roman" w:eastAsia="仿宋_GB2312" w:cs="Times New Roman"/>
          <w:sz w:val="32"/>
          <w:szCs w:val="32"/>
        </w:rPr>
      </w:pPr>
      <w:bookmarkStart w:id="215" w:name="_Toc16716"/>
      <w:bookmarkStart w:id="216" w:name="_Toc53743487"/>
      <w:bookmarkStart w:id="217" w:name="_Toc55555996"/>
      <w:bookmarkStart w:id="218" w:name="_Toc54081300"/>
      <w:r>
        <w:rPr>
          <w:rFonts w:ascii="Times New Roman" w:hAnsi="Times New Roman" w:eastAsia="仿宋_GB2312" w:cs="Times New Roman"/>
          <w:sz w:val="32"/>
          <w:szCs w:val="32"/>
        </w:rPr>
        <w:t>把保障人民健康放在优先发展战略地位，完善全民健身公共服务体系，提高公共卫生保障水平，建设健康西塞山。</w:t>
      </w:r>
    </w:p>
    <w:p>
      <w:pPr>
        <w:pStyle w:val="4"/>
        <w:keepNext w:val="0"/>
        <w:keepLines w:val="0"/>
        <w:widowControl w:val="0"/>
        <w:spacing w:before="0" w:after="0" w:line="560" w:lineRule="exact"/>
        <w:ind w:firstLine="640" w:firstLineChars="200"/>
        <w:jc w:val="both"/>
        <w:rPr>
          <w:rFonts w:ascii="Times New Roman" w:hAnsi="Times New Roman" w:eastAsia="黑体" w:cs="Times New Roman"/>
          <w:b w:val="0"/>
          <w:bCs w:val="0"/>
        </w:rPr>
      </w:pPr>
      <w:r>
        <w:rPr>
          <w:rFonts w:ascii="Times New Roman" w:hAnsi="Times New Roman" w:eastAsia="黑体" w:cs="Times New Roman"/>
          <w:b w:val="0"/>
          <w:bCs w:val="0"/>
          <w:lang w:val="zh-CN"/>
        </w:rPr>
        <w:t>一、</w:t>
      </w:r>
      <w:bookmarkEnd w:id="215"/>
      <w:bookmarkEnd w:id="216"/>
      <w:bookmarkEnd w:id="217"/>
      <w:bookmarkEnd w:id="218"/>
      <w:r>
        <w:rPr>
          <w:rFonts w:ascii="Times New Roman" w:hAnsi="Times New Roman" w:eastAsia="黑体" w:cs="Times New Roman"/>
          <w:b w:val="0"/>
          <w:bCs w:val="0"/>
          <w:lang w:val="zh-CN"/>
        </w:rPr>
        <w:t>提升基层卫生机构服务能力</w:t>
      </w:r>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继续推动“优质服务基层行活动”。力争黄思湾、西塞、八泉、临江社区卫生服务中心和河口卫生院达到基本标准，同时1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2家基层医疗单位达到推荐标准。积极建设社区医院。对达到推荐标准的基层医疗单位进一步提档升级，开展社区医院创建，力争1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2家单位加挂社区医院牌子，在区域范围内成为有一定影响力的基层医疗机构。推动特色科室建设。以“培育优势、重点突破</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扶持特色、提高水平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合理配置、带动全局”为原则，鼓励和支持基层医疗卫生机构开展省、市级基层特色科室创建，力争在每家机构建立1个具有区域影响力的特色科室。</w:t>
      </w:r>
    </w:p>
    <w:p>
      <w:pPr>
        <w:pStyle w:val="4"/>
        <w:keepNext w:val="0"/>
        <w:keepLines w:val="0"/>
        <w:widowControl w:val="0"/>
        <w:spacing w:before="0" w:after="0" w:line="560" w:lineRule="exact"/>
        <w:ind w:firstLine="640" w:firstLineChars="200"/>
        <w:jc w:val="both"/>
        <w:rPr>
          <w:rFonts w:ascii="Times New Roman" w:hAnsi="Times New Roman" w:eastAsia="黑体" w:cs="Times New Roman"/>
          <w:b w:val="0"/>
          <w:bCs w:val="0"/>
          <w:lang w:val="zh-CN"/>
        </w:rPr>
      </w:pPr>
      <w:r>
        <w:rPr>
          <w:rFonts w:ascii="Times New Roman" w:hAnsi="Times New Roman" w:eastAsia="黑体" w:cs="Times New Roman"/>
          <w:b w:val="0"/>
          <w:bCs w:val="0"/>
          <w:lang w:val="zh-CN"/>
        </w:rPr>
        <w:t>二、完善疾病预防控制体系</w:t>
      </w:r>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加强疾控体系建设，加强区级疾病预防控制中心建设，健全以区级疾病预防控制中心为骨干、医疗机构为依托、基层医疗卫生服务机构为网底，全社会协同的疾病预防控制工作体系。强化疾控能力建设，培养建设具有开展疾病预防与健康管理、居民健康教育、疫情报告综合能力和具有突发公共卫生事件的流行病学调查与初步处置能力的队伍。强化疾控硬件建设，完成疾病预防控制中心办公场所建设，配置办公、业务用房。</w:t>
      </w:r>
    </w:p>
    <w:p>
      <w:pPr>
        <w:pStyle w:val="4"/>
        <w:keepNext w:val="0"/>
        <w:keepLines w:val="0"/>
        <w:widowControl w:val="0"/>
        <w:spacing w:before="0" w:after="0" w:line="560" w:lineRule="exact"/>
        <w:ind w:firstLine="640" w:firstLineChars="200"/>
        <w:jc w:val="both"/>
        <w:rPr>
          <w:rFonts w:ascii="Times New Roman" w:hAnsi="Times New Roman" w:eastAsia="黑体" w:cs="Times New Roman"/>
          <w:b w:val="0"/>
          <w:bCs w:val="0"/>
          <w:lang w:val="zh-CN"/>
        </w:rPr>
      </w:pPr>
      <w:r>
        <w:rPr>
          <w:rFonts w:ascii="Times New Roman" w:hAnsi="Times New Roman" w:eastAsia="黑体" w:cs="Times New Roman"/>
          <w:b w:val="0"/>
          <w:bCs w:val="0"/>
          <w:lang w:val="zh-CN"/>
        </w:rPr>
        <w:t>三、完善公共卫生应急体系</w:t>
      </w:r>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建立公共卫生应急体系。健全党委领导、政府主导、部门配合、分级负责的公共卫生应急指挥体系，组建公共卫生应急管理委员会，建立公共卫生机构、医疗机构以及政府相关职能部门的定期沟通、会商、协商和容错机制，办事机构设在区卫生健康局。设置街道卫生健康管理办公室。在街道和乡镇设立卫生健康管理办公室，配备卫健专干，负责社区疫情防控的联络协调、组织动员健康教育以及爱国卫生运动工作。</w:t>
      </w:r>
    </w:p>
    <w:p>
      <w:pPr>
        <w:pStyle w:val="2"/>
        <w:ind w:left="0" w:leftChars="0" w:firstLine="640"/>
        <w:rPr>
          <w:rFonts w:ascii="Times New Roman" w:hAnsi="Times New Roman" w:eastAsia="黑体" w:cs="Times New Roman"/>
          <w:sz w:val="32"/>
          <w:szCs w:val="32"/>
          <w:lang w:val="zh-CN"/>
        </w:rPr>
      </w:pPr>
      <w:r>
        <w:rPr>
          <w:rFonts w:hint="eastAsia" w:ascii="仿宋_GB2312" w:eastAsia="仿宋_GB2312"/>
          <w:color w:val="FF0000"/>
          <w:sz w:val="32"/>
          <w:szCs w:val="32"/>
        </w:rPr>
        <w:t>加强院前急救网络建设。科学布局全区急救站网络，推进河口卫生院急救站规范化建设,打造城区10分钟急救圈、农村30分钟急救圈。</w:t>
      </w:r>
    </w:p>
    <w:p>
      <w:pPr>
        <w:widowControl w:val="0"/>
        <w:spacing w:line="560" w:lineRule="exact"/>
        <w:ind w:firstLine="640" w:firstLineChars="200"/>
        <w:jc w:val="both"/>
        <w:rPr>
          <w:rFonts w:ascii="Times New Roman" w:hAnsi="Times New Roman" w:eastAsia="黑体" w:cs="Times New Roman"/>
          <w:sz w:val="32"/>
          <w:szCs w:val="32"/>
          <w:lang w:val="zh-CN"/>
        </w:rPr>
      </w:pPr>
      <w:r>
        <w:rPr>
          <w:rFonts w:ascii="Times New Roman" w:hAnsi="Times New Roman" w:eastAsia="黑体" w:cs="Times New Roman"/>
          <w:sz w:val="32"/>
          <w:szCs w:val="32"/>
          <w:lang w:val="zh-CN"/>
        </w:rPr>
        <w:t>四、推动基层医疗单位信息化建设</w:t>
      </w:r>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全面推进村级医疗信息系统建设，实现站点、诊所、门诊部、卫生室信息化建设全覆盖、无空白点。建设基层医疗卫生机构一体化智慧健康服务系统。推动区域化全民健康信息平台建设。依托省市两级数据分发和属地化管理机制建立全生命周期的电子健康档案，为居民提供健康信息服务。加强网络信息安全建设。加强安全态势监测预警与基础设施网络安全防护综合治理，实现信息共享与保护同步发展。建立医疗卫生机构重要信息统一备份制度，同时推进云桌面建设，确保信息安全。</w:t>
      </w:r>
    </w:p>
    <w:p>
      <w:pPr>
        <w:widowControl w:val="0"/>
        <w:spacing w:line="560" w:lineRule="exact"/>
        <w:ind w:firstLine="640" w:firstLineChars="200"/>
        <w:jc w:val="both"/>
        <w:rPr>
          <w:rFonts w:ascii="Times New Roman" w:hAnsi="Times New Roman" w:eastAsia="黑体" w:cs="Times New Roman"/>
          <w:sz w:val="32"/>
          <w:szCs w:val="32"/>
          <w:lang w:val="zh-CN"/>
        </w:rPr>
      </w:pPr>
      <w:r>
        <w:rPr>
          <w:rFonts w:ascii="Times New Roman" w:hAnsi="Times New Roman" w:eastAsia="黑体" w:cs="Times New Roman"/>
          <w:sz w:val="32"/>
          <w:szCs w:val="32"/>
          <w:lang w:val="zh-CN"/>
        </w:rPr>
        <w:t>五、提升基层中医药服务能力</w:t>
      </w:r>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加强中医药人才队伍建设，实现95%以上社区卫生服务中心和河口卫生院中医类医师占本机构医师总数比例达到20%。75%以上的村卫生室至少配备1名中医药服务为主的乡村医生或能中医会西医的乡村医生。依托市“国医堂”专科联盟，对基层医疗机构的国医堂进行提质升级，全面推进中医药适宜技术。</w:t>
      </w:r>
      <w:r>
        <w:rPr>
          <w:rFonts w:hint="eastAsia" w:ascii="Times New Roman" w:hAnsi="Times New Roman" w:eastAsia="仿宋_GB2312" w:cs="Times New Roman"/>
          <w:sz w:val="32"/>
          <w:szCs w:val="32"/>
        </w:rPr>
        <w:t>推动</w:t>
      </w:r>
      <w:r>
        <w:rPr>
          <w:rFonts w:ascii="Times New Roman" w:hAnsi="Times New Roman" w:eastAsia="仿宋_GB2312" w:cs="Times New Roman"/>
          <w:sz w:val="32"/>
          <w:szCs w:val="32"/>
        </w:rPr>
        <w:t>社区卫生服务中心、河口卫生院按照《中医药技术操作规范》开展6类以上的中医药技术方法。社区卫生服务站、70%以上的村卫生室能够按照《中医药技术操作规范》开展4类以上的中医药技术方法。</w:t>
      </w:r>
    </w:p>
    <w:p>
      <w:pPr>
        <w:widowControl w:val="0"/>
        <w:spacing w:line="560" w:lineRule="exact"/>
        <w:ind w:firstLine="640" w:firstLineChars="200"/>
        <w:jc w:val="both"/>
        <w:rPr>
          <w:rFonts w:ascii="Times New Roman" w:hAnsi="Times New Roman" w:eastAsia="仿宋_GB2312" w:cs="Times New Roman"/>
          <w:sz w:val="32"/>
          <w:szCs w:val="32"/>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903" w:type="dxa"/>
            <w:noWrap w:val="0"/>
            <w:vAlign w:val="top"/>
          </w:tcPr>
          <w:p>
            <w:pPr>
              <w:widowControl w:val="0"/>
              <w:spacing w:line="400" w:lineRule="exact"/>
              <w:jc w:val="center"/>
              <w:rPr>
                <w:rFonts w:ascii="Times New Roman" w:hAnsi="Times New Roman" w:eastAsia="仿宋_GB2312" w:cs="Times New Roman"/>
                <w:b/>
                <w:bCs/>
                <w:sz w:val="28"/>
                <w:szCs w:val="28"/>
              </w:rPr>
            </w:pPr>
            <w:r>
              <w:rPr>
                <w:rFonts w:ascii="Times New Roman" w:hAnsi="Times New Roman" w:eastAsia="仿宋_GB2312" w:cs="Times New Roman"/>
                <w:b/>
                <w:bCs/>
              </w:rPr>
              <w:t>专栏11-2 完善医疗卫生服务体系重点项目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903" w:type="dxa"/>
            <w:noWrap w:val="0"/>
            <w:vAlign w:val="top"/>
          </w:tcPr>
          <w:p>
            <w:pPr>
              <w:widowControl w:val="0"/>
              <w:spacing w:line="380" w:lineRule="exact"/>
              <w:ind w:firstLine="420" w:firstLineChars="200"/>
              <w:jc w:val="both"/>
              <w:rPr>
                <w:rFonts w:ascii="Times New Roman" w:hAnsi="Times New Roman" w:eastAsia="仿宋_GB2312" w:cs="Times New Roman"/>
              </w:rPr>
            </w:pPr>
            <w:r>
              <w:rPr>
                <w:rFonts w:ascii="Times New Roman" w:hAnsi="Times New Roman" w:eastAsia="仿宋_GB2312" w:cs="Times New Roman"/>
                <w:b/>
                <w:bCs/>
              </w:rPr>
              <w:t>区疾病预防控制中心项目</w:t>
            </w:r>
            <w:r>
              <w:rPr>
                <w:rFonts w:ascii="Times New Roman" w:hAnsi="Times New Roman" w:eastAsia="仿宋_GB2312" w:cs="Times New Roman"/>
              </w:rPr>
              <w:t>。该项目拟同八泉社区卫生服务中心合建，通过购买青龙阁社区星秀江南售楼部，建设设施完备、功能完善的区级疾病预防控制中心和社区医院。建筑面积3200平方米，总投资5000万元。</w:t>
            </w:r>
          </w:p>
          <w:p>
            <w:pPr>
              <w:widowControl w:val="0"/>
              <w:spacing w:line="380" w:lineRule="exact"/>
              <w:ind w:firstLine="420" w:firstLineChars="200"/>
              <w:jc w:val="both"/>
              <w:rPr>
                <w:rFonts w:ascii="Times New Roman" w:hAnsi="Times New Roman" w:eastAsia="仿宋_GB2312" w:cs="Times New Roman"/>
              </w:rPr>
            </w:pPr>
            <w:r>
              <w:rPr>
                <w:rFonts w:ascii="Times New Roman" w:hAnsi="Times New Roman" w:eastAsia="仿宋_GB2312" w:cs="Times New Roman"/>
                <w:b/>
                <w:bCs/>
              </w:rPr>
              <w:t>黄石市河口</w:t>
            </w:r>
            <w:r>
              <w:rPr>
                <w:rFonts w:hint="eastAsia" w:ascii="Times New Roman" w:hAnsi="Times New Roman" w:eastAsia="仿宋_GB2312" w:cs="Times New Roman"/>
                <w:b/>
                <w:bCs/>
              </w:rPr>
              <w:t>临港产业园区</w:t>
            </w:r>
            <w:r>
              <w:rPr>
                <w:rFonts w:ascii="Times New Roman" w:hAnsi="Times New Roman" w:eastAsia="仿宋_GB2312" w:cs="Times New Roman"/>
                <w:b/>
                <w:bCs/>
              </w:rPr>
              <w:t>医院建设项目</w:t>
            </w:r>
            <w:r>
              <w:rPr>
                <w:rFonts w:ascii="Times New Roman" w:hAnsi="Times New Roman" w:eastAsia="仿宋_GB2312" w:cs="Times New Roman"/>
              </w:rPr>
              <w:t>。该项目拟在黄石市河口</w:t>
            </w:r>
            <w:r>
              <w:rPr>
                <w:rFonts w:hint="eastAsia" w:ascii="Times New Roman" w:hAnsi="Times New Roman" w:eastAsia="仿宋_GB2312" w:cs="Times New Roman"/>
              </w:rPr>
              <w:t>临港产业园区</w:t>
            </w:r>
            <w:r>
              <w:rPr>
                <w:rFonts w:ascii="Times New Roman" w:hAnsi="Times New Roman" w:eastAsia="仿宋_GB2312" w:cs="Times New Roman"/>
              </w:rPr>
              <w:t>建设一所二级综合医院，建筑面积13850平方米，床位数140张，预计总投资1.5亿元。</w:t>
            </w:r>
          </w:p>
          <w:p>
            <w:pPr>
              <w:widowControl w:val="0"/>
              <w:spacing w:line="380" w:lineRule="exact"/>
              <w:ind w:firstLine="420" w:firstLineChars="200"/>
              <w:jc w:val="both"/>
              <w:rPr>
                <w:rFonts w:ascii="Times New Roman" w:hAnsi="Times New Roman" w:eastAsia="仿宋_GB2312" w:cs="Times New Roman"/>
              </w:rPr>
            </w:pPr>
            <w:r>
              <w:rPr>
                <w:rFonts w:ascii="Times New Roman" w:hAnsi="Times New Roman" w:eastAsia="仿宋_GB2312" w:cs="Times New Roman"/>
                <w:b/>
                <w:bCs/>
              </w:rPr>
              <w:t>医疗机构标准化建设项目。</w:t>
            </w:r>
            <w:r>
              <w:rPr>
                <w:rFonts w:ascii="Times New Roman" w:hAnsi="Times New Roman" w:eastAsia="仿宋_GB2312" w:cs="Times New Roman"/>
              </w:rPr>
              <w:t>对澄月、西塞、黄思湾社区卫生服务中心进行新建或改扩建。澄月社区医院建设项目。该项目拟通过购买牧羊湖水机路口航天城S3栋，建设符合国家标准的社区医院，并依托社区医院打造社区专业化医养结合中心，建筑面积3900平方米，总投资8000万元。西塞社区卫生服务中心改扩建项目。该项目拟将中心现有门诊楼拆除，新建医养结合综合服务中心，总面积10000平方米，预计总投资8000万元。黄思湾社区卫生服务中心新建项目。该项目拟购买黄思湾园林场，建设医疗养老结合型社区医院，建筑面积4000平方米，预计总投资8000万元。</w:t>
            </w:r>
          </w:p>
          <w:p>
            <w:pPr>
              <w:widowControl w:val="0"/>
              <w:spacing w:line="380" w:lineRule="exact"/>
              <w:ind w:firstLine="420" w:firstLineChars="200"/>
              <w:jc w:val="both"/>
              <w:rPr>
                <w:rFonts w:ascii="Times New Roman" w:hAnsi="Times New Roman" w:eastAsia="仿宋_GB2312" w:cs="Times New Roman"/>
              </w:rPr>
            </w:pPr>
            <w:r>
              <w:rPr>
                <w:rFonts w:ascii="Times New Roman" w:hAnsi="Times New Roman" w:eastAsia="仿宋_GB2312" w:cs="Times New Roman"/>
                <w:b/>
                <w:bCs/>
              </w:rPr>
              <w:t>医养康复项目。</w:t>
            </w:r>
            <w:r>
              <w:rPr>
                <w:rFonts w:ascii="Times New Roman" w:hAnsi="Times New Roman" w:eastAsia="仿宋_GB2312" w:cs="Times New Roman"/>
              </w:rPr>
              <w:t>新建西塞山区残疾人康复中心。该项目涉及康复门诊部、肢体残疾康复科、智力残疾康复科、视听残疾康复科等建设，预计总投资1.6亿元。建设区医养结合中心。拟通过引入社会资本，在原福康医院的基础上，对现有的医疗资源进行结构和功能上的调整，建立以医疗、护理、养老相结合的医养结合服务机构。预计总投资1.6亿元。建设公伤医养康复中心。采取购买原冶钢党校的方式，建立以临床医疗、公伤救治、康复和疗养为主的公伤医养康复中心。预计总投资2亿元。支持十五冶养老护理院建设。支持十五冶医院对市福利院进行改造升级，建成占地20亩，建筑面积1.7万方平米的养老护理院，总投资1.6亿元。</w:t>
            </w:r>
          </w:p>
          <w:p>
            <w:pPr>
              <w:widowControl w:val="0"/>
              <w:spacing w:line="380" w:lineRule="exact"/>
              <w:ind w:firstLine="420" w:firstLineChars="200"/>
              <w:jc w:val="both"/>
              <w:rPr>
                <w:rFonts w:ascii="Times New Roman" w:hAnsi="Times New Roman" w:eastAsia="仿宋_GB2312" w:cs="Times New Roman"/>
              </w:rPr>
            </w:pPr>
            <w:r>
              <w:rPr>
                <w:rFonts w:ascii="Times New Roman" w:hAnsi="Times New Roman" w:eastAsia="仿宋_GB2312" w:cs="Times New Roman"/>
                <w:b/>
                <w:bCs/>
              </w:rPr>
              <w:t>托幼服务项目。</w:t>
            </w:r>
            <w:r>
              <w:rPr>
                <w:rFonts w:ascii="Times New Roman" w:hAnsi="Times New Roman" w:eastAsia="仿宋_GB2312" w:cs="Times New Roman"/>
              </w:rPr>
              <w:t>该项目拟建设0-3岁婴幼儿托育服务中心，解决我区无托幼服务问题，充分利用国家免税免租优惠政策，吸引社会资金建设。预计总投资1亿元。</w:t>
            </w:r>
          </w:p>
        </w:tc>
      </w:tr>
    </w:tbl>
    <w:p>
      <w:pPr>
        <w:widowControl w:val="0"/>
        <w:spacing w:line="560" w:lineRule="exact"/>
        <w:ind w:firstLine="640" w:firstLineChars="200"/>
        <w:jc w:val="both"/>
        <w:rPr>
          <w:rFonts w:ascii="Times New Roman" w:hAnsi="Times New Roman" w:eastAsia="仿宋_GB2312" w:cs="Times New Roman"/>
          <w:sz w:val="32"/>
          <w:szCs w:val="32"/>
        </w:rPr>
      </w:pPr>
    </w:p>
    <w:p>
      <w:pPr>
        <w:widowControl w:val="0"/>
        <w:spacing w:line="560" w:lineRule="exact"/>
        <w:jc w:val="both"/>
        <w:rPr>
          <w:rFonts w:ascii="Times New Roman" w:hAnsi="Times New Roman" w:eastAsia="仿宋_GB2312" w:cs="Times New Roman"/>
          <w:sz w:val="32"/>
          <w:szCs w:val="32"/>
        </w:rPr>
        <w:sectPr>
          <w:pgSz w:w="11906" w:h="16838"/>
          <w:pgMar w:top="2098" w:right="1531" w:bottom="1985" w:left="1531" w:header="851" w:footer="992" w:gutter="0"/>
          <w:cols w:space="720" w:num="1"/>
          <w:docGrid w:type="linesAndChars" w:linePitch="312" w:charSpace="0"/>
        </w:sectPr>
      </w:pPr>
    </w:p>
    <w:p>
      <w:pPr>
        <w:widowControl w:val="0"/>
        <w:spacing w:before="240" w:after="60" w:line="560" w:lineRule="exact"/>
        <w:jc w:val="center"/>
        <w:outlineLvl w:val="0"/>
        <w:rPr>
          <w:rFonts w:ascii="Times New Roman" w:hAnsi="Times New Roman" w:eastAsia="黑体" w:cs="Times New Roman"/>
          <w:kern w:val="32"/>
          <w:sz w:val="32"/>
          <w:szCs w:val="32"/>
        </w:rPr>
      </w:pPr>
      <w:bookmarkStart w:id="219" w:name="_Toc28125"/>
      <w:r>
        <w:rPr>
          <w:rFonts w:ascii="Times New Roman" w:hAnsi="Times New Roman" w:eastAsia="黑体" w:cs="Times New Roman"/>
          <w:kern w:val="32"/>
          <w:sz w:val="32"/>
          <w:szCs w:val="32"/>
        </w:rPr>
        <w:t>第十二章  厚植文化根基 推动文化</w:t>
      </w:r>
      <w:r>
        <w:rPr>
          <w:rFonts w:hint="eastAsia" w:ascii="Times New Roman" w:hAnsi="Times New Roman" w:eastAsia="黑体" w:cs="Times New Roman"/>
          <w:kern w:val="32"/>
          <w:sz w:val="32"/>
          <w:szCs w:val="32"/>
        </w:rPr>
        <w:t>大</w:t>
      </w:r>
      <w:r>
        <w:rPr>
          <w:rFonts w:ascii="Times New Roman" w:hAnsi="Times New Roman" w:eastAsia="黑体" w:cs="Times New Roman"/>
          <w:kern w:val="32"/>
          <w:sz w:val="32"/>
          <w:szCs w:val="32"/>
        </w:rPr>
        <w:t>繁荣</w:t>
      </w:r>
      <w:bookmarkEnd w:id="219"/>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坚持以加快推进全国文明城市创建为目标，以培育践行社会主义核心价值观为根本任务，以先进文化为导向，不断满足人民群众的精神追求和文化需求，全面提升全区文化价值、文化品位和文化软实力，努力建成文化强区。</w:t>
      </w:r>
    </w:p>
    <w:p>
      <w:pPr>
        <w:widowControl w:val="0"/>
        <w:spacing w:before="240" w:after="60" w:line="560" w:lineRule="exact"/>
        <w:jc w:val="center"/>
        <w:outlineLvl w:val="1"/>
        <w:rPr>
          <w:rFonts w:ascii="Times New Roman" w:hAnsi="Times New Roman" w:eastAsia="楷体_GB2312" w:cs="Times New Roman"/>
          <w:b/>
          <w:bCs/>
          <w:sz w:val="32"/>
          <w:szCs w:val="32"/>
        </w:rPr>
      </w:pPr>
      <w:bookmarkStart w:id="220" w:name="_Toc52190670"/>
      <w:bookmarkStart w:id="221" w:name="_Toc4913"/>
      <w:r>
        <w:rPr>
          <w:rFonts w:ascii="Times New Roman" w:hAnsi="Times New Roman" w:eastAsia="楷体_GB2312" w:cs="Times New Roman"/>
          <w:b/>
          <w:bCs/>
          <w:sz w:val="32"/>
          <w:szCs w:val="32"/>
        </w:rPr>
        <w:t>第一节  弘扬优秀文化传播社会文明</w:t>
      </w:r>
      <w:bookmarkEnd w:id="220"/>
      <w:bookmarkEnd w:id="221"/>
    </w:p>
    <w:p>
      <w:pPr>
        <w:widowControl w:val="0"/>
        <w:spacing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培育和践行社会主义核心价值观，大力弘扬以改革创新为核心的时代精神，进一步加强对西塞文化的保护、传承和开发，充分展现西塞文化的永久魅力和时代风采。</w:t>
      </w:r>
    </w:p>
    <w:p>
      <w:pPr>
        <w:pStyle w:val="4"/>
        <w:keepNext w:val="0"/>
        <w:keepLines w:val="0"/>
        <w:widowControl w:val="0"/>
        <w:spacing w:before="0" w:after="0" w:line="540" w:lineRule="exact"/>
        <w:ind w:firstLine="640" w:firstLineChars="200"/>
        <w:jc w:val="both"/>
        <w:rPr>
          <w:rFonts w:ascii="Times New Roman" w:hAnsi="Times New Roman" w:eastAsia="黑体" w:cs="Times New Roman"/>
          <w:b w:val="0"/>
          <w:bCs w:val="0"/>
          <w:lang w:val="zh-CN"/>
        </w:rPr>
      </w:pPr>
      <w:bookmarkStart w:id="222" w:name="_Toc52190671"/>
      <w:bookmarkStart w:id="223" w:name="_Toc18817"/>
      <w:bookmarkStart w:id="224" w:name="_Toc55556001"/>
      <w:bookmarkStart w:id="225" w:name="_Toc54081305"/>
      <w:bookmarkStart w:id="226" w:name="_Toc53743492"/>
      <w:r>
        <w:rPr>
          <w:rFonts w:ascii="Times New Roman" w:hAnsi="Times New Roman" w:eastAsia="黑体" w:cs="Times New Roman"/>
          <w:b w:val="0"/>
          <w:bCs w:val="0"/>
          <w:lang w:val="zh-CN"/>
        </w:rPr>
        <w:t>一、培育和践行社会主义核心价值观</w:t>
      </w:r>
      <w:bookmarkEnd w:id="222"/>
      <w:bookmarkEnd w:id="223"/>
      <w:bookmarkEnd w:id="224"/>
      <w:bookmarkEnd w:id="225"/>
      <w:bookmarkEnd w:id="226"/>
    </w:p>
    <w:p>
      <w:pPr>
        <w:widowControl w:val="0"/>
        <w:spacing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广泛开展理想信念教育，坚持把习近平新时代中国特色社会主义思想学习教育纳入各级党委（党组）中心组学习计划，纳入各级党委讲师团经常性宣讲内容，推进习近平新时代中国特色社会主义思想入脑入心，全面实现党的创新理论全覆盖、无遗漏。加强教育引导、实践养成、制度保障，把社会主义核心价值观融入社会发展各方面，融入国民教育全过程，深入开展理想信念教育，深化社会主义和共产主义宣传教育，深化中国特色社会主义和中国梦宣传教育，引导人们厚植爱国情怀，筑牢精神之基，培养担当奋进的时代新人。通过持续深入的教育引导，推动社会主义核心价值观成为人们的思想自觉和行为习惯。</w:t>
      </w:r>
    </w:p>
    <w:p>
      <w:pPr>
        <w:pStyle w:val="4"/>
        <w:keepNext w:val="0"/>
        <w:keepLines w:val="0"/>
        <w:widowControl w:val="0"/>
        <w:spacing w:before="0" w:after="0" w:line="540" w:lineRule="exact"/>
        <w:ind w:firstLine="640" w:firstLineChars="200"/>
        <w:jc w:val="both"/>
        <w:rPr>
          <w:rFonts w:ascii="Times New Roman" w:hAnsi="Times New Roman" w:eastAsia="黑体" w:cs="Times New Roman"/>
          <w:b w:val="0"/>
          <w:bCs w:val="0"/>
          <w:lang w:val="zh-CN"/>
        </w:rPr>
      </w:pPr>
      <w:bookmarkStart w:id="227" w:name="_Toc54081306"/>
      <w:bookmarkStart w:id="228" w:name="_Toc52190672"/>
      <w:bookmarkStart w:id="229" w:name="_Toc10777"/>
      <w:bookmarkStart w:id="230" w:name="_Toc53743493"/>
      <w:bookmarkStart w:id="231" w:name="_Toc55556002"/>
      <w:r>
        <w:rPr>
          <w:rFonts w:ascii="Times New Roman" w:hAnsi="Times New Roman" w:eastAsia="黑体" w:cs="Times New Roman"/>
          <w:b w:val="0"/>
          <w:bCs w:val="0"/>
          <w:lang w:val="zh-CN"/>
        </w:rPr>
        <w:t>二、继承和弘扬优秀传统文化</w:t>
      </w:r>
      <w:bookmarkEnd w:id="227"/>
      <w:bookmarkEnd w:id="228"/>
      <w:bookmarkEnd w:id="229"/>
      <w:bookmarkEnd w:id="230"/>
      <w:bookmarkEnd w:id="231"/>
    </w:p>
    <w:p>
      <w:pPr>
        <w:widowControl w:val="0"/>
        <w:spacing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不断坚定文化自信，增强文化自觉，提升文化软实力和向心力。充分发挥非遗文化资源优势，加强文化遗产传承、保护与开发，擦亮西塞文化品牌。继续开展最美西塞人、西塞工匠评选宣传活动，大力弘扬民族精神和时代精神，讲好西塞故事。开展校园图书店、小区书店、景区书店建设，全面推进书香西塞，全民阅读活动。加强文化精品创作，推出一批弘扬主旋律、传播正能量的好作品。加强党员领导干部家风建设，以良好家风来促党风政风、带社风民风。加强媒体传播能力现代化建设，完善正确导向的舆论引导工作机制。</w:t>
      </w:r>
    </w:p>
    <w:p>
      <w:pPr>
        <w:pStyle w:val="4"/>
        <w:keepNext w:val="0"/>
        <w:keepLines w:val="0"/>
        <w:widowControl w:val="0"/>
        <w:spacing w:before="0" w:after="0" w:line="540" w:lineRule="exact"/>
        <w:ind w:firstLine="640" w:firstLineChars="200"/>
        <w:jc w:val="both"/>
        <w:rPr>
          <w:rFonts w:ascii="Times New Roman" w:hAnsi="Times New Roman" w:eastAsia="黑体" w:cs="Times New Roman"/>
          <w:b w:val="0"/>
          <w:bCs w:val="0"/>
          <w:lang w:val="zh-CN"/>
        </w:rPr>
      </w:pPr>
      <w:bookmarkStart w:id="232" w:name="_Toc55556003"/>
      <w:bookmarkStart w:id="233" w:name="_Toc53743494"/>
      <w:bookmarkStart w:id="234" w:name="_Toc52190673"/>
      <w:bookmarkStart w:id="235" w:name="_Toc11843"/>
      <w:bookmarkStart w:id="236" w:name="_Toc54081307"/>
      <w:r>
        <w:rPr>
          <w:rFonts w:ascii="Times New Roman" w:hAnsi="Times New Roman" w:eastAsia="黑体" w:cs="Times New Roman"/>
          <w:b w:val="0"/>
          <w:bCs w:val="0"/>
          <w:lang w:val="zh-CN"/>
        </w:rPr>
        <w:t>三、广泛开展文明创建</w:t>
      </w:r>
      <w:bookmarkEnd w:id="232"/>
      <w:bookmarkEnd w:id="233"/>
      <w:bookmarkEnd w:id="234"/>
      <w:bookmarkEnd w:id="235"/>
      <w:bookmarkEnd w:id="236"/>
    </w:p>
    <w:p>
      <w:pPr>
        <w:widowControl w:val="0"/>
        <w:spacing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努力营造比学赶超、争先恐后、争创一流的全民创文氛围，倡导文明新风，提升城市文明程度。加强思想道德和社会诚信建设，增强公民国家意识、法治意识、社会责任意识。全面实施文明祭祀、文明交通、文明旅游、文明餐桌、文明网络传播行动。严格落实意识形态工作责任制，抓紧抓实网络意识形态重要领域的管理，形成上下联动、横向联合的网络舆情监测、研判和处置机制。大力倡导社会志愿服务，</w:t>
      </w:r>
      <w:r>
        <w:rPr>
          <w:rFonts w:hint="eastAsia" w:ascii="Times New Roman" w:hAnsi="Times New Roman" w:eastAsia="仿宋_GB2312" w:cs="Times New Roman"/>
          <w:sz w:val="32"/>
          <w:szCs w:val="32"/>
        </w:rPr>
        <w:t>推动志愿服务制度化、社会化和专业化</w:t>
      </w:r>
      <w:r>
        <w:rPr>
          <w:rFonts w:ascii="Times New Roman" w:hAnsi="Times New Roman" w:eastAsia="仿宋_GB2312" w:cs="Times New Roman"/>
          <w:sz w:val="32"/>
          <w:szCs w:val="32"/>
        </w:rPr>
        <w:t>，增强居民对西塞</w:t>
      </w:r>
      <w:r>
        <w:rPr>
          <w:rFonts w:hint="eastAsia" w:ascii="Times New Roman" w:hAnsi="Times New Roman" w:eastAsia="仿宋_GB2312" w:cs="Times New Roman"/>
          <w:sz w:val="32"/>
          <w:szCs w:val="32"/>
        </w:rPr>
        <w:t>山区</w:t>
      </w:r>
      <w:r>
        <w:rPr>
          <w:rFonts w:ascii="Times New Roman" w:hAnsi="Times New Roman" w:eastAsia="仿宋_GB2312" w:cs="Times New Roman"/>
          <w:sz w:val="32"/>
          <w:szCs w:val="32"/>
        </w:rPr>
        <w:t>的归属感、认同感和自豪感。全面提高全区公民道德素质，扎实推进“爱国、守法、诚信、知礼”现代公民教育，加强社会公德、职业道德、家庭美德、个人品德和未成年人思想道德建设，强化公民的国家意识、社会责任意识和民主法治意识，深化爱国主义、集体主义和社会主义教育，倡导顺应时代潮流的社会文明风尚。</w:t>
      </w:r>
    </w:p>
    <w:p>
      <w:pPr>
        <w:widowControl w:val="0"/>
        <w:spacing w:before="240" w:after="60" w:line="560" w:lineRule="exact"/>
        <w:jc w:val="center"/>
        <w:outlineLvl w:val="1"/>
        <w:rPr>
          <w:rFonts w:ascii="Times New Roman" w:hAnsi="Times New Roman" w:eastAsia="楷体_GB2312" w:cs="Times New Roman"/>
          <w:b/>
          <w:bCs/>
          <w:sz w:val="32"/>
          <w:szCs w:val="32"/>
        </w:rPr>
      </w:pPr>
      <w:bookmarkStart w:id="237" w:name="_Toc6270"/>
      <w:r>
        <w:rPr>
          <w:rFonts w:ascii="Times New Roman" w:hAnsi="Times New Roman" w:eastAsia="楷体_GB2312" w:cs="Times New Roman"/>
          <w:b/>
          <w:bCs/>
          <w:sz w:val="32"/>
          <w:szCs w:val="32"/>
        </w:rPr>
        <w:t>第二节  提升文化体育公共服务水平</w:t>
      </w:r>
      <w:bookmarkEnd w:id="237"/>
    </w:p>
    <w:p>
      <w:pPr>
        <w:widowControl w:val="0"/>
        <w:spacing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完善公共文化服务体系，加强公共文化基础设施建设，推动基本公共文化服务标准化、均等化发展，加快发展体育健身事业，全面提升文化体育公共服务水平。</w:t>
      </w:r>
    </w:p>
    <w:p>
      <w:pPr>
        <w:pStyle w:val="4"/>
        <w:keepNext w:val="0"/>
        <w:keepLines w:val="0"/>
        <w:widowControl w:val="0"/>
        <w:spacing w:before="0" w:after="0" w:line="540" w:lineRule="exact"/>
        <w:ind w:firstLine="640" w:firstLineChars="200"/>
        <w:jc w:val="both"/>
        <w:rPr>
          <w:rFonts w:ascii="Times New Roman" w:hAnsi="Times New Roman" w:eastAsia="黑体" w:cs="Times New Roman"/>
          <w:b w:val="0"/>
          <w:bCs w:val="0"/>
          <w:lang w:val="zh-CN"/>
        </w:rPr>
      </w:pPr>
      <w:bookmarkStart w:id="238" w:name="_Toc25252"/>
      <w:bookmarkStart w:id="239" w:name="_Toc53743499"/>
      <w:bookmarkStart w:id="240" w:name="_Toc55556008"/>
      <w:bookmarkStart w:id="241" w:name="_Toc54081312"/>
      <w:r>
        <w:rPr>
          <w:rFonts w:ascii="Times New Roman" w:hAnsi="Times New Roman" w:eastAsia="黑体" w:cs="Times New Roman"/>
          <w:b w:val="0"/>
          <w:bCs w:val="0"/>
          <w:lang w:val="zh-CN"/>
        </w:rPr>
        <w:t>一、完善公共文化服务基础设施</w:t>
      </w:r>
      <w:bookmarkEnd w:id="238"/>
      <w:bookmarkEnd w:id="239"/>
      <w:bookmarkEnd w:id="240"/>
      <w:bookmarkEnd w:id="241"/>
    </w:p>
    <w:p>
      <w:pPr>
        <w:widowControl w:val="0"/>
        <w:spacing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完善公共文化服务基础设施，借助城市书房、综合文化服务中心建设等契机，培树典型、示范带动，让更多、更优秀的公共文化惠及千家万户。推进文化广场、健身广场、体育公园、临港体育运动健身中心等文体设施规划建设，建立和完善能满足人民群众精神文化需求、种类齐全、结构合理、布局均衡的公共文化设施体系。加大“口袋公园”建设力度，不断完善公共用地绿化，打造满足居民休闲娱乐的特色文化场地。加强辖区内中心文化场所的建设和服务工作，建成辐射面广、影响力大、服务健全的文化活动载体。坚持免费开放区公共文化服务中心，不断完善其功能设施，提高使用率。深入实施社区文化工程，不断建立和完善街道文化和社区基层文化服务设施，形成完善的社区和街道文化服务设施体系。继续推进各镇街和社区综合文化站、村文化活动室及文化广场建设，提高管理水平。</w:t>
      </w:r>
    </w:p>
    <w:p>
      <w:pPr>
        <w:pStyle w:val="4"/>
        <w:keepNext w:val="0"/>
        <w:keepLines w:val="0"/>
        <w:widowControl w:val="0"/>
        <w:spacing w:before="0" w:after="0" w:line="540" w:lineRule="exact"/>
        <w:ind w:firstLine="640" w:firstLineChars="200"/>
        <w:jc w:val="both"/>
        <w:rPr>
          <w:rFonts w:ascii="Times New Roman" w:hAnsi="Times New Roman" w:eastAsia="黑体" w:cs="Times New Roman"/>
          <w:b w:val="0"/>
          <w:bCs w:val="0"/>
          <w:lang w:val="zh-CN"/>
        </w:rPr>
      </w:pPr>
      <w:bookmarkStart w:id="242" w:name="_Toc55556009"/>
      <w:bookmarkStart w:id="243" w:name="_Toc13948"/>
      <w:bookmarkStart w:id="244" w:name="_Toc53743500"/>
      <w:bookmarkStart w:id="245" w:name="_Toc54081313"/>
      <w:bookmarkStart w:id="246" w:name="_Toc52190676"/>
      <w:r>
        <w:rPr>
          <w:rFonts w:ascii="Times New Roman" w:hAnsi="Times New Roman" w:eastAsia="黑体" w:cs="Times New Roman"/>
          <w:b w:val="0"/>
          <w:bCs w:val="0"/>
          <w:lang w:val="zh-CN"/>
        </w:rPr>
        <w:t>二、提升公共文化服务质量</w:t>
      </w:r>
      <w:bookmarkEnd w:id="242"/>
      <w:bookmarkEnd w:id="243"/>
      <w:bookmarkEnd w:id="244"/>
      <w:bookmarkEnd w:id="245"/>
      <w:bookmarkEnd w:id="246"/>
    </w:p>
    <w:p>
      <w:pPr>
        <w:widowControl w:val="0"/>
        <w:spacing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建立现代公共文化服务标准，健全完善公共文化服务城乡联动机制，实现城乡公共文化服务一体化运行，全面提高城乡公共文化服务水平和服务能力。实施“戏曲四进”“文化下乡”等文化惠民工程，将公共文化服务延伸到基层，增强群众的文化获得感。推行“24小时自助借阅书柜”和“港口图书馆”建设，打通市民阅读服务“最后一公里”，增强公共文化服务的可达性。鼓励社会力量参与，持续推动公共文化设施免费开放，不断提高文化惠民工程的覆盖面和实施效果。培育优秀文化活动品牌、优秀群文团队、优秀文艺骨干，继续开展好“文化力量·民间精彩”社会文艺团队展演、“红色文艺轻骑兵”进基层、全民健身日等文艺活动。打造一批有影响、有底蕴、有文化、有特色、可持续的文体活动品牌。</w:t>
      </w:r>
    </w:p>
    <w:p>
      <w:pPr>
        <w:pStyle w:val="4"/>
        <w:keepNext w:val="0"/>
        <w:keepLines w:val="0"/>
        <w:widowControl w:val="0"/>
        <w:spacing w:before="0" w:after="0" w:line="540" w:lineRule="exact"/>
        <w:ind w:firstLine="640" w:firstLineChars="200"/>
        <w:jc w:val="both"/>
        <w:rPr>
          <w:rFonts w:ascii="Times New Roman" w:hAnsi="Times New Roman" w:eastAsia="黑体" w:cs="Times New Roman"/>
          <w:b w:val="0"/>
          <w:bCs w:val="0"/>
          <w:lang w:val="zh-CN"/>
        </w:rPr>
      </w:pPr>
      <w:bookmarkStart w:id="247" w:name="_Toc26060"/>
      <w:bookmarkStart w:id="248" w:name="_Toc54081314"/>
      <w:bookmarkStart w:id="249" w:name="_Toc53743501"/>
      <w:bookmarkStart w:id="250" w:name="_Toc55556010"/>
      <w:r>
        <w:rPr>
          <w:rFonts w:ascii="Times New Roman" w:hAnsi="Times New Roman" w:eastAsia="黑体" w:cs="Times New Roman"/>
          <w:b w:val="0"/>
          <w:bCs w:val="0"/>
          <w:lang w:val="zh-CN"/>
        </w:rPr>
        <w:t>三、加快体育健身事业发展</w:t>
      </w:r>
      <w:bookmarkEnd w:id="247"/>
      <w:bookmarkEnd w:id="248"/>
      <w:bookmarkEnd w:id="249"/>
      <w:bookmarkEnd w:id="250"/>
    </w:p>
    <w:p>
      <w:pPr>
        <w:widowControl w:val="0"/>
        <w:spacing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大力开展全民健身运动，办好各类群众性体育活动，形成具有西塞特色的“品牌”活动（赛事）。完善体育健身场地设施建设，加快推进“一场两馆”建设，推动新全民示范工程、黄荆山和磁湖健身步道工程、临港体育运动健身工程落地实施，利用闲置用地建设利民、便民的体育健身广场，进一步完善“15分钟健身圈”，推进全区新建社区体育设施全覆盖。持续开展多样化体育活动，支持发展自行车比赛、慢步走、登山比赛等群众喜闻乐见体育活动。推动各级各类公共体育设施免费或低收费开放，满足辖区居民群众健身体育需求。注重体育人才培养，建立体育人才数据库，结合西塞山区体育特色，针对性的举办体育指导员培训班，提高体育人才专业水平。</w:t>
      </w:r>
    </w:p>
    <w:p>
      <w:pPr>
        <w:widowControl w:val="0"/>
        <w:spacing w:before="240" w:after="60" w:line="560" w:lineRule="exact"/>
        <w:jc w:val="center"/>
        <w:outlineLvl w:val="1"/>
        <w:rPr>
          <w:rFonts w:ascii="Times New Roman" w:hAnsi="Times New Roman" w:eastAsia="楷体_GB2312" w:cs="Times New Roman"/>
          <w:b/>
          <w:bCs/>
          <w:sz w:val="32"/>
          <w:szCs w:val="32"/>
        </w:rPr>
      </w:pPr>
      <w:bookmarkStart w:id="251" w:name="_Toc28010"/>
      <w:bookmarkStart w:id="252" w:name="_Toc52190680"/>
      <w:r>
        <w:rPr>
          <w:rFonts w:ascii="Times New Roman" w:hAnsi="Times New Roman" w:eastAsia="楷体_GB2312" w:cs="Times New Roman"/>
          <w:b/>
          <w:bCs/>
          <w:sz w:val="32"/>
          <w:szCs w:val="32"/>
        </w:rPr>
        <w:t>第三节  推动文化产业</w:t>
      </w:r>
      <w:r>
        <w:rPr>
          <w:rFonts w:hint="eastAsia" w:ascii="Times New Roman" w:hAnsi="Times New Roman" w:eastAsia="楷体_GB2312" w:cs="Times New Roman"/>
          <w:b/>
          <w:bCs/>
          <w:sz w:val="32"/>
          <w:szCs w:val="32"/>
        </w:rPr>
        <w:t>高质量</w:t>
      </w:r>
      <w:r>
        <w:rPr>
          <w:rFonts w:ascii="Times New Roman" w:hAnsi="Times New Roman" w:eastAsia="楷体_GB2312" w:cs="Times New Roman"/>
          <w:b/>
          <w:bCs/>
          <w:sz w:val="32"/>
          <w:szCs w:val="32"/>
        </w:rPr>
        <w:t>发展</w:t>
      </w:r>
      <w:bookmarkEnd w:id="251"/>
      <w:bookmarkEnd w:id="252"/>
    </w:p>
    <w:p>
      <w:pPr>
        <w:widowControl w:val="0"/>
        <w:spacing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坚持把社会效益放在首位、社会效益与经济效益相统一，完善文化产业规划和政策，加强文化市场体系建设，把文化产业打造成西塞山有力的经济支撑。</w:t>
      </w:r>
    </w:p>
    <w:p>
      <w:pPr>
        <w:pStyle w:val="4"/>
        <w:keepNext w:val="0"/>
        <w:keepLines w:val="0"/>
        <w:widowControl w:val="0"/>
        <w:spacing w:before="0" w:after="0" w:line="560" w:lineRule="exact"/>
        <w:ind w:firstLine="640" w:firstLineChars="200"/>
        <w:jc w:val="both"/>
        <w:rPr>
          <w:rFonts w:ascii="Times New Roman" w:hAnsi="Times New Roman" w:eastAsia="黑体" w:cs="Times New Roman"/>
          <w:b w:val="0"/>
          <w:bCs w:val="0"/>
          <w:lang w:val="zh-CN"/>
        </w:rPr>
      </w:pPr>
      <w:bookmarkStart w:id="253" w:name="_Toc54081316"/>
      <w:bookmarkStart w:id="254" w:name="_Toc8438"/>
      <w:bookmarkStart w:id="255" w:name="_Toc52190681"/>
      <w:bookmarkStart w:id="256" w:name="_Toc55556012"/>
      <w:bookmarkStart w:id="257" w:name="_Toc53743503"/>
      <w:r>
        <w:rPr>
          <w:rFonts w:ascii="Times New Roman" w:hAnsi="Times New Roman" w:eastAsia="黑体" w:cs="Times New Roman"/>
          <w:b w:val="0"/>
          <w:bCs w:val="0"/>
          <w:lang w:val="zh-CN"/>
        </w:rPr>
        <w:t>一、推动文化产业全面发展</w:t>
      </w:r>
      <w:bookmarkEnd w:id="253"/>
      <w:bookmarkEnd w:id="254"/>
      <w:bookmarkEnd w:id="255"/>
      <w:bookmarkEnd w:id="256"/>
      <w:bookmarkEnd w:id="257"/>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积极推动印刷、出版、广告、工艺制造等传统产业升级，着力发展影视传媒、创意设计、动漫游戏等新兴领域，重点拓展工业设计、软件设计、视觉设计、工艺美术设计、服饰设计、咨询策划等创意设计产业链，提升旅游业文化品质，培育西塞特色文化，打造西塞文化品牌。加快文化产业集群集聚，重点推进磁湖南岸文化创意产业园建设，建成文创中心、艺术交易中心、演艺中心、磁湖实景大舞台、文化旅游集散中心、文化创意、休闲体验产业园区。十四五期间，动漫游戏、创意设计、影视传媒、文化旅游产业增长速度高于文化产业增长速度，成为文化产业发展重要增长点。</w:t>
      </w:r>
    </w:p>
    <w:p>
      <w:pPr>
        <w:pStyle w:val="4"/>
        <w:keepNext w:val="0"/>
        <w:keepLines w:val="0"/>
        <w:widowControl w:val="0"/>
        <w:spacing w:before="0" w:after="0" w:line="560" w:lineRule="exact"/>
        <w:ind w:firstLine="640" w:firstLineChars="200"/>
        <w:jc w:val="both"/>
        <w:rPr>
          <w:rFonts w:ascii="Times New Roman" w:hAnsi="Times New Roman" w:eastAsia="黑体" w:cs="Times New Roman"/>
          <w:b w:val="0"/>
          <w:bCs w:val="0"/>
          <w:lang w:val="zh-CN"/>
        </w:rPr>
      </w:pPr>
      <w:bookmarkStart w:id="258" w:name="_Toc53743504"/>
      <w:bookmarkStart w:id="259" w:name="_Toc25621"/>
      <w:bookmarkStart w:id="260" w:name="_Toc52190682"/>
      <w:bookmarkStart w:id="261" w:name="_Toc55556013"/>
      <w:bookmarkStart w:id="262" w:name="_Toc54081317"/>
      <w:r>
        <w:rPr>
          <w:rFonts w:ascii="Times New Roman" w:hAnsi="Times New Roman" w:eastAsia="黑体" w:cs="Times New Roman"/>
          <w:b w:val="0"/>
          <w:bCs w:val="0"/>
          <w:lang w:val="zh-CN"/>
        </w:rPr>
        <w:t>二、促进文化数字化发展</w:t>
      </w:r>
      <w:bookmarkEnd w:id="258"/>
      <w:bookmarkEnd w:id="259"/>
      <w:bookmarkEnd w:id="260"/>
      <w:bookmarkEnd w:id="261"/>
      <w:bookmarkEnd w:id="262"/>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以数字文化资源建设为重点，以全省文化信息资源技术平台为依托，对文物、古迹、非遗等实施网上建档入库，描绘“西塞数字文化地图”，推动文化信息资源共建共享。结合虚拟现实技术，大力建设网上图书馆、网上博物馆、网上剧院等数字文化服务网络。积极发展数字出版、数字影视、数字杂志、数字报纸、数字广播、数字学习、数字游戏、数字动漫等数字文化产业。推动乡村文化数字化发展，通过微博、微信、短视频、直播、影视等进行跨媒介、立体化传播，充分挖掘和展示乡村美丽、朴实、原生态的特点。</w:t>
      </w:r>
    </w:p>
    <w:p>
      <w:pPr>
        <w:widowControl w:val="0"/>
        <w:spacing w:line="560" w:lineRule="exact"/>
        <w:jc w:val="both"/>
        <w:rPr>
          <w:rFonts w:ascii="Times New Roman" w:hAnsi="Times New Roman" w:eastAsia="仿宋_GB2312" w:cs="Times New Roman"/>
          <w:sz w:val="32"/>
          <w:szCs w:val="32"/>
        </w:rPr>
        <w:sectPr>
          <w:pgSz w:w="11906" w:h="16838"/>
          <w:pgMar w:top="2098" w:right="1531" w:bottom="1985" w:left="1531" w:header="851" w:footer="992" w:gutter="0"/>
          <w:cols w:space="720" w:num="1"/>
          <w:docGrid w:type="linesAndChars" w:linePitch="312" w:charSpace="0"/>
        </w:sectPr>
      </w:pPr>
    </w:p>
    <w:p>
      <w:pPr>
        <w:widowControl w:val="0"/>
        <w:spacing w:before="240" w:after="100" w:afterAutospacing="1" w:line="560" w:lineRule="exact"/>
        <w:jc w:val="center"/>
        <w:outlineLvl w:val="0"/>
        <w:rPr>
          <w:rFonts w:ascii="Times New Roman" w:hAnsi="Times New Roman" w:eastAsia="黑体" w:cs="Times New Roman"/>
          <w:kern w:val="32"/>
          <w:sz w:val="32"/>
          <w:szCs w:val="32"/>
        </w:rPr>
      </w:pPr>
      <w:bookmarkStart w:id="263" w:name="_Toc12827"/>
      <w:r>
        <w:rPr>
          <w:rFonts w:ascii="Times New Roman" w:hAnsi="Times New Roman" w:eastAsia="黑体" w:cs="Times New Roman"/>
          <w:kern w:val="32"/>
          <w:sz w:val="32"/>
          <w:szCs w:val="32"/>
        </w:rPr>
        <w:t>第十三章  推进社会治理现代化 建设更高水平平安西塞山</w:t>
      </w:r>
      <w:bookmarkEnd w:id="263"/>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把加快推进市域社会治理现代化作为切入点和突破口，</w:t>
      </w:r>
      <w:r>
        <w:rPr>
          <w:rFonts w:hint="eastAsia" w:ascii="Times New Roman" w:hAnsi="Times New Roman" w:eastAsia="仿宋_GB2312" w:cs="Times New Roman"/>
          <w:sz w:val="32"/>
          <w:szCs w:val="32"/>
        </w:rPr>
        <w:t>构建多元共治格局</w:t>
      </w:r>
      <w:r>
        <w:rPr>
          <w:rFonts w:ascii="Times New Roman" w:hAnsi="Times New Roman" w:eastAsia="仿宋_GB2312" w:cs="Times New Roman"/>
          <w:sz w:val="32"/>
          <w:szCs w:val="32"/>
        </w:rPr>
        <w:t>、统筹四大要素体系、创新五大融合维度，全面推进系统治理、依法治理、综合治理和源头治理体系建设，形成平安创建人人有责、人人尽责、人人享有的市域社会治理工作格局，确保“一感一度一率一评价”测评居全省前列，努力实现蝉联全国“长安杯”的目标。</w:t>
      </w:r>
    </w:p>
    <w:p>
      <w:pPr>
        <w:widowControl w:val="0"/>
        <w:spacing w:before="240" w:after="60" w:line="560" w:lineRule="exact"/>
        <w:jc w:val="center"/>
        <w:outlineLvl w:val="1"/>
        <w:rPr>
          <w:rFonts w:ascii="Times New Roman" w:hAnsi="Times New Roman" w:eastAsia="楷体_GB2312" w:cs="Times New Roman"/>
          <w:b/>
          <w:bCs/>
          <w:sz w:val="32"/>
          <w:szCs w:val="32"/>
        </w:rPr>
      </w:pPr>
      <w:bookmarkStart w:id="264" w:name="_Toc985"/>
      <w:r>
        <w:rPr>
          <w:rFonts w:ascii="Times New Roman" w:hAnsi="Times New Roman" w:eastAsia="楷体_GB2312" w:cs="Times New Roman"/>
          <w:b/>
          <w:bCs/>
          <w:sz w:val="32"/>
          <w:szCs w:val="32"/>
        </w:rPr>
        <w:t>第一节  构建多元共治格局，打造社会治理共同体</w:t>
      </w:r>
      <w:bookmarkEnd w:id="264"/>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要进一步挖掘和凝聚各方力量，调动城乡群众、企事业单位、社会组织自主自治的积极性，打造人人有责、人人尽责的社会治理共同体，使人民群众成为推进基层社会治理的最积极参与者和最大受益者。</w:t>
      </w:r>
    </w:p>
    <w:p>
      <w:pPr>
        <w:widowControl w:val="0"/>
        <w:spacing w:line="560" w:lineRule="exact"/>
        <w:ind w:firstLine="640" w:firstLineChars="200"/>
        <w:jc w:val="both"/>
        <w:outlineLvl w:val="2"/>
        <w:rPr>
          <w:rFonts w:ascii="Times New Roman" w:hAnsi="Times New Roman" w:eastAsia="黑体" w:cs="Times New Roman"/>
          <w:sz w:val="32"/>
          <w:szCs w:val="32"/>
          <w:lang w:val="zh-CN"/>
        </w:rPr>
      </w:pPr>
      <w:r>
        <w:rPr>
          <w:rFonts w:ascii="Times New Roman" w:hAnsi="Times New Roman" w:eastAsia="黑体" w:cs="Times New Roman"/>
          <w:sz w:val="32"/>
          <w:szCs w:val="32"/>
          <w:lang w:val="zh-CN"/>
        </w:rPr>
        <w:t>一、</w:t>
      </w:r>
      <w:r>
        <w:rPr>
          <w:rFonts w:ascii="Times New Roman" w:hAnsi="Times New Roman" w:eastAsia="黑体" w:cs="Times New Roman"/>
          <w:sz w:val="32"/>
          <w:szCs w:val="32"/>
        </w:rPr>
        <w:t>完善</w:t>
      </w:r>
      <w:r>
        <w:rPr>
          <w:rFonts w:ascii="Times New Roman" w:hAnsi="Times New Roman" w:eastAsia="黑体" w:cs="Times New Roman"/>
          <w:sz w:val="32"/>
          <w:szCs w:val="32"/>
          <w:lang w:val="zh-CN"/>
        </w:rPr>
        <w:t>党委领导</w:t>
      </w:r>
      <w:r>
        <w:rPr>
          <w:rFonts w:ascii="Times New Roman" w:hAnsi="Times New Roman" w:eastAsia="黑体" w:cs="Times New Roman"/>
          <w:sz w:val="32"/>
          <w:szCs w:val="32"/>
        </w:rPr>
        <w:t>机制</w:t>
      </w:r>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各级党委要将社会治理现代化、深化平安建设工作作为重大政治责任、列入党委重要日程，切实加强组织领导，推动各方面力量协调行动、增强合力，全面建成区、镇（街）、社区（村）三级平安建设协调机制。深入推进政法队伍建设。落实平安建设领导责任制，健全平安建设考核评价体系。强化考评结果运用，将社会治理工作实绩作为领导班子和领导干部综合考核评价的重要内容。加强镇（街）和社区（村）党组织建设，推动党建引领社区网格化管理，构建“基层党建+社会治理”的基层社会治理工作新格局。</w:t>
      </w:r>
    </w:p>
    <w:p>
      <w:pPr>
        <w:widowControl w:val="0"/>
        <w:spacing w:line="560" w:lineRule="exact"/>
        <w:ind w:firstLine="640" w:firstLineChars="200"/>
        <w:jc w:val="both"/>
        <w:outlineLvl w:val="2"/>
        <w:rPr>
          <w:rFonts w:ascii="Times New Roman" w:hAnsi="Times New Roman" w:eastAsia="黑体" w:cs="Times New Roman"/>
          <w:sz w:val="32"/>
          <w:szCs w:val="32"/>
          <w:lang w:val="zh-CN"/>
        </w:rPr>
      </w:pPr>
      <w:r>
        <w:rPr>
          <w:rFonts w:ascii="Times New Roman" w:hAnsi="Times New Roman" w:eastAsia="黑体" w:cs="Times New Roman"/>
          <w:sz w:val="32"/>
          <w:szCs w:val="32"/>
          <w:lang w:val="zh-CN"/>
        </w:rPr>
        <w:t>二、完善人大监督机制</w:t>
      </w:r>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shd w:val="clear" w:color="auto" w:fill="FFFFFF"/>
        </w:rPr>
        <w:t>充分发挥人大在加强和创新社会治理中的监督作用，推进监督方式的多元化。建立各级代表参与基层治理的联动机制，充分发挥代表专业优势，推动群众关心关注的一系列基层治理急难愁盼问题落地落实。开展有关法律法规实施情况执法检查，推动社会治理方式提质增效。</w:t>
      </w:r>
    </w:p>
    <w:p>
      <w:pPr>
        <w:widowControl w:val="0"/>
        <w:spacing w:line="560" w:lineRule="exact"/>
        <w:ind w:firstLine="640" w:firstLineChars="200"/>
        <w:jc w:val="both"/>
        <w:outlineLvl w:val="2"/>
        <w:rPr>
          <w:rFonts w:ascii="Times New Roman" w:hAnsi="Times New Roman" w:eastAsia="黑体" w:cs="Times New Roman"/>
          <w:sz w:val="32"/>
          <w:szCs w:val="32"/>
          <w:lang w:val="zh-CN"/>
        </w:rPr>
      </w:pPr>
      <w:r>
        <w:rPr>
          <w:rFonts w:ascii="Times New Roman" w:hAnsi="Times New Roman" w:eastAsia="黑体" w:cs="Times New Roman"/>
          <w:sz w:val="32"/>
          <w:szCs w:val="32"/>
          <w:lang w:val="zh-CN"/>
        </w:rPr>
        <w:t>三、完善政府负责机制</w:t>
      </w:r>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将社会治理和平安建设纳入经济社会发展规划，确定和推进年度重点项目，落实社会治理公共财政保障。深入推进“放管服”改革，推进政务一体化平台智慧化改造项目，建设“互联网+政务”一体化功能服务平台，形成统一的政务服务与公共服务体系，确保社区（村）可直接办理或代办政务服务事项，社区（村）综合服务设施实现全覆盖。</w:t>
      </w:r>
    </w:p>
    <w:p>
      <w:pPr>
        <w:widowControl w:val="0"/>
        <w:spacing w:line="560" w:lineRule="exact"/>
        <w:ind w:firstLine="640" w:firstLineChars="200"/>
        <w:jc w:val="both"/>
        <w:outlineLvl w:val="2"/>
        <w:rPr>
          <w:rFonts w:ascii="Times New Roman" w:hAnsi="Times New Roman" w:eastAsia="黑体" w:cs="Times New Roman"/>
          <w:sz w:val="32"/>
          <w:szCs w:val="32"/>
          <w:lang w:val="zh-CN"/>
        </w:rPr>
      </w:pPr>
      <w:r>
        <w:rPr>
          <w:rFonts w:ascii="Times New Roman" w:hAnsi="Times New Roman" w:eastAsia="黑体" w:cs="Times New Roman"/>
          <w:sz w:val="32"/>
          <w:szCs w:val="32"/>
          <w:lang w:val="zh-CN"/>
        </w:rPr>
        <w:t>四、完善民主协商机制</w:t>
      </w:r>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发挥“两代表一委员”的积极作用，围绕改革、发展、稳定等重大问题和旧城改造、居家养老、社会治安等关系群众切身利益问题进行广泛协商，制定镇（街）和社区（村）协商事项清单。发挥党组织在基层协商中的领导作用，完善社区（村）民主选举、民主协商、民主决策、民主管理、民主监督制度，全面落实社区（村）重大事项决策“四议两公开”。</w:t>
      </w:r>
    </w:p>
    <w:p>
      <w:pPr>
        <w:widowControl w:val="0"/>
        <w:spacing w:line="560" w:lineRule="exact"/>
        <w:ind w:firstLine="640" w:firstLineChars="200"/>
        <w:jc w:val="both"/>
        <w:outlineLvl w:val="2"/>
        <w:rPr>
          <w:rFonts w:ascii="Times New Roman" w:hAnsi="Times New Roman" w:eastAsia="黑体" w:cs="Times New Roman"/>
          <w:sz w:val="32"/>
          <w:szCs w:val="32"/>
          <w:lang w:val="zh-CN"/>
        </w:rPr>
      </w:pPr>
      <w:r>
        <w:rPr>
          <w:rFonts w:ascii="Times New Roman" w:hAnsi="Times New Roman" w:eastAsia="黑体" w:cs="Times New Roman"/>
          <w:sz w:val="32"/>
          <w:szCs w:val="32"/>
          <w:lang w:val="zh-CN"/>
        </w:rPr>
        <w:t>五、完善群团助推机制</w:t>
      </w:r>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有序推进群团组织体制改革，构建小机关、大网络、强基层、全覆盖的群团组织体系。明确各群团组织的社会治理职责任务，支持群团组织充分发挥阵地作用，广泛组织群众参与社会治理和平安创建，积极推进家庭婚姻纠纷调解等示范基层调解组织建设。</w:t>
      </w:r>
    </w:p>
    <w:p>
      <w:pPr>
        <w:widowControl w:val="0"/>
        <w:spacing w:line="560" w:lineRule="exact"/>
        <w:ind w:firstLine="640" w:firstLineChars="200"/>
        <w:jc w:val="both"/>
        <w:outlineLvl w:val="2"/>
        <w:rPr>
          <w:rFonts w:ascii="Times New Roman" w:hAnsi="Times New Roman" w:eastAsia="黑体" w:cs="Times New Roman"/>
          <w:sz w:val="32"/>
          <w:szCs w:val="32"/>
          <w:lang w:val="zh-CN"/>
        </w:rPr>
      </w:pPr>
      <w:r>
        <w:rPr>
          <w:rFonts w:ascii="Times New Roman" w:hAnsi="Times New Roman" w:eastAsia="黑体" w:cs="Times New Roman"/>
          <w:sz w:val="32"/>
          <w:szCs w:val="32"/>
          <w:lang w:val="zh-CN"/>
        </w:rPr>
        <w:t>六、完善社会协同机制</w:t>
      </w:r>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加强各种新型基层社会组织的党组织建设，增强党对社会组织工作的领导。加强社会组织综合监管，建立健全登记年审、检查评估、监督引导机制。完善政府购买服务指导性目录，支持社会组织参与社会治理、平安创建、开展公共服务。协调区委组织部、区住保局推进辖区小区物业全覆盖，深入开展红色物业试点建设工作。鼓励在镇（街）成立社区社会组织联合会、社区社会组织服务中心等枢纽型社会组织。建立企业社会责任评估和激励奖惩机制，推动企事业单位开展平安创建。</w:t>
      </w:r>
    </w:p>
    <w:p>
      <w:pPr>
        <w:widowControl w:val="0"/>
        <w:spacing w:line="560" w:lineRule="exact"/>
        <w:ind w:firstLine="640" w:firstLineChars="200"/>
        <w:jc w:val="both"/>
        <w:outlineLvl w:val="2"/>
        <w:rPr>
          <w:rFonts w:ascii="Times New Roman" w:hAnsi="Times New Roman" w:eastAsia="黑体" w:cs="Times New Roman"/>
          <w:sz w:val="32"/>
          <w:szCs w:val="32"/>
          <w:lang w:val="zh-CN"/>
        </w:rPr>
      </w:pPr>
      <w:r>
        <w:rPr>
          <w:rFonts w:ascii="Times New Roman" w:hAnsi="Times New Roman" w:eastAsia="黑体" w:cs="Times New Roman"/>
          <w:sz w:val="32"/>
          <w:szCs w:val="32"/>
          <w:lang w:val="zh-CN"/>
        </w:rPr>
        <w:t>七、完善公众参与机制</w:t>
      </w:r>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加强社会工作人才队伍建设和志愿者服务队伍建设，支持和发展社会工作服务机构。探索社会工作者和志愿者分类分级管理办法，推进网格员、人民调解员、志愿者等与社会工作人才队伍融合发展。健全志愿服务激励保障机制，支持志愿服务组织发展，每个社区（村）至少有1个平安建设志愿服务团队。</w:t>
      </w:r>
    </w:p>
    <w:p>
      <w:pPr>
        <w:widowControl w:val="0"/>
        <w:spacing w:line="560" w:lineRule="exact"/>
        <w:ind w:firstLine="640" w:firstLineChars="200"/>
        <w:jc w:val="both"/>
        <w:outlineLvl w:val="2"/>
        <w:rPr>
          <w:rFonts w:ascii="Times New Roman" w:hAnsi="Times New Roman" w:eastAsia="黑体" w:cs="Times New Roman"/>
          <w:sz w:val="32"/>
          <w:szCs w:val="32"/>
          <w:lang w:val="zh-CN"/>
        </w:rPr>
      </w:pPr>
      <w:r>
        <w:rPr>
          <w:rFonts w:ascii="Times New Roman" w:hAnsi="Times New Roman" w:eastAsia="黑体" w:cs="Times New Roman"/>
          <w:sz w:val="32"/>
          <w:szCs w:val="32"/>
          <w:lang w:val="zh-CN"/>
        </w:rPr>
        <w:t>八、完善上下联动机制</w:t>
      </w:r>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推进区、镇（街）、社区（村）三级综治中心规范化建设，推动网格中心、综治中心和社区（村）综合服务管理平台一体化运行，打造集统筹协调、风险研判、决策服务等功能为一体的指挥中心。依托平安建设协调机制，确定地区部门平安建设权责边界，健全跨区域矛盾风险联动处置机制，开展全领域、全覆盖的平安细胞创建活动。推进行政执法权限和力量向基层延伸和下沉，探索建立镇（街）指挥和协调工作平台。推进“街道吹哨、部门报到”等改革探索，建立更加完善的党建引领体系、更加简约高效的基层管理体系和更加健全精准的服务响应体系。</w:t>
      </w:r>
    </w:p>
    <w:p>
      <w:pPr>
        <w:widowControl w:val="0"/>
        <w:spacing w:before="240" w:after="60" w:line="560" w:lineRule="exact"/>
        <w:jc w:val="center"/>
        <w:outlineLvl w:val="1"/>
        <w:rPr>
          <w:rFonts w:ascii="Times New Roman" w:hAnsi="Times New Roman" w:eastAsia="楷体_GB2312" w:cs="Times New Roman"/>
          <w:b/>
          <w:bCs/>
          <w:sz w:val="32"/>
          <w:szCs w:val="32"/>
        </w:rPr>
      </w:pPr>
      <w:bookmarkStart w:id="265" w:name="_Toc12442"/>
      <w:r>
        <w:rPr>
          <w:rFonts w:ascii="Times New Roman" w:hAnsi="Times New Roman" w:eastAsia="楷体_GB2312" w:cs="Times New Roman"/>
          <w:b/>
          <w:bCs/>
          <w:sz w:val="32"/>
          <w:szCs w:val="32"/>
        </w:rPr>
        <w:t>第二节  统筹四大要素体系，促进治理能力一盘棋</w:t>
      </w:r>
      <w:bookmarkEnd w:id="265"/>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坚持底线思维，增强忧患意识，完善维护国家政治安全体系、社会治安综合治理体制机制、防范化解社会矛盾风险体系和公共安全保障体系，加强社会维护社会稳定，保障社会安全。</w:t>
      </w:r>
    </w:p>
    <w:p>
      <w:pPr>
        <w:widowControl w:val="0"/>
        <w:spacing w:line="560" w:lineRule="exact"/>
        <w:ind w:firstLine="640" w:firstLineChars="200"/>
        <w:jc w:val="both"/>
        <w:outlineLvl w:val="2"/>
        <w:rPr>
          <w:rFonts w:ascii="Times New Roman" w:hAnsi="Times New Roman" w:eastAsia="黑体" w:cs="Times New Roman"/>
          <w:sz w:val="32"/>
          <w:szCs w:val="32"/>
          <w:lang w:val="zh-CN"/>
        </w:rPr>
      </w:pPr>
      <w:r>
        <w:rPr>
          <w:rFonts w:ascii="Times New Roman" w:hAnsi="Times New Roman" w:eastAsia="黑体" w:cs="Times New Roman"/>
          <w:sz w:val="32"/>
          <w:szCs w:val="32"/>
          <w:lang w:val="zh-CN"/>
        </w:rPr>
        <w:t>一、维护国家政治安全体系</w:t>
      </w:r>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坚持把维护政治安全放在首位，严防严打敌对势力的渗透、破坏、颠覆活动。加强意识形态阵地建设和管理，提高舆情监测处置特别是网络舆论引导能力。加强国家安全宣传教育，增强全民国家安全意识，巩固国家安全人民防线。完善国防动员体系，深化“双拥共建”，巩固军政军民团结。</w:t>
      </w:r>
    </w:p>
    <w:p>
      <w:pPr>
        <w:widowControl w:val="0"/>
        <w:spacing w:line="560" w:lineRule="exact"/>
        <w:ind w:firstLine="640" w:firstLineChars="200"/>
        <w:jc w:val="both"/>
        <w:outlineLvl w:val="2"/>
        <w:rPr>
          <w:rFonts w:ascii="Times New Roman" w:hAnsi="Times New Roman" w:eastAsia="黑体" w:cs="Times New Roman"/>
          <w:sz w:val="32"/>
          <w:szCs w:val="32"/>
          <w:lang w:val="zh-CN"/>
        </w:rPr>
      </w:pPr>
      <w:r>
        <w:rPr>
          <w:rFonts w:ascii="Times New Roman" w:hAnsi="Times New Roman" w:eastAsia="黑体" w:cs="Times New Roman"/>
          <w:sz w:val="32"/>
          <w:szCs w:val="32"/>
          <w:lang w:val="zh-CN"/>
        </w:rPr>
        <w:t>二、强化社会治安防控体系</w:t>
      </w:r>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深化立体化社会治安防控体系“十张网”建设，严厉打击盗抢骗、黄赌毒、食药环和枪爆刀等突出违法犯罪。纵深掘进扫黑除恶专项斗争，建立扫黑除恶长效常治机制。推进“经济案件情报联勤工作站”和“反电诈中心”建设，完善统一指挥、合成作战、专业研判、分类打击机制。优化治安卡点设置，健全公安武警联勤武装巡逻与街面治安服务岗亭联动机制，加强辅警及治安巡逻专兼职队伍建设，构建立体化、法治化、专业化、智能化的社会治安防控体系。加强流动人员服务管理和社区矫正对象管控，加强重点行业治安管理。推进网络新媒体集约化一体化管理，努力建设职能部门依法监管、网站自净、网民自律、社会监督等多主体协同参与的网络综合治理工作格局。</w:t>
      </w:r>
    </w:p>
    <w:p>
      <w:pPr>
        <w:widowControl w:val="0"/>
        <w:spacing w:line="560" w:lineRule="exact"/>
        <w:ind w:firstLine="640" w:firstLineChars="200"/>
        <w:jc w:val="both"/>
        <w:outlineLvl w:val="2"/>
        <w:rPr>
          <w:rFonts w:ascii="Times New Roman" w:hAnsi="Times New Roman" w:eastAsia="黑体" w:cs="Times New Roman"/>
          <w:sz w:val="32"/>
          <w:szCs w:val="32"/>
          <w:lang w:val="zh-CN"/>
        </w:rPr>
      </w:pPr>
      <w:r>
        <w:rPr>
          <w:rFonts w:ascii="Times New Roman" w:hAnsi="Times New Roman" w:eastAsia="黑体" w:cs="Times New Roman"/>
          <w:sz w:val="32"/>
          <w:szCs w:val="32"/>
          <w:lang w:val="zh-CN"/>
        </w:rPr>
        <w:t>三、完善防范化解社会矛盾风险体系</w:t>
      </w:r>
    </w:p>
    <w:p>
      <w:pPr>
        <w:widowControl w:val="0"/>
        <w:spacing w:line="560" w:lineRule="exact"/>
        <w:ind w:firstLine="640" w:firstLineChars="200"/>
        <w:jc w:val="both"/>
        <w:rPr>
          <w:rFonts w:ascii="Times New Roman" w:hAnsi="Times New Roman" w:cs="Times New Roman"/>
        </w:rPr>
      </w:pPr>
      <w:r>
        <w:rPr>
          <w:rFonts w:ascii="Times New Roman" w:hAnsi="Times New Roman" w:eastAsia="仿宋_GB2312" w:cs="Times New Roman"/>
          <w:sz w:val="32"/>
          <w:szCs w:val="32"/>
        </w:rPr>
        <w:t>全面防范化解金融风险，持续加强监测预警，统筹协调各行业各部门联合推进风险处置化解。细化完善政府债务管理制度，严格规范政府举债行为，着力防范和化解政府债务风险。全面落实重大决策社会稳定风险评估制度，强化刚性执行力。坚持定期排查和重点排查相结合，健全社会矛盾排查预警机制，及时处置苗头性风险问题。坚持全面梳理、及时处理、积极调理、综合治理“四理工作法”，完善社会矛盾纠纷多元化解机制。同步推进“防范化解重大风险攻坚战”、“信访矛盾纠纷攻坚行动”等工作，提升矛盾纠纷化解和吸附能力。搭建全面覆盖民事、商事、行政等领域的线上线下相结合的非诉讼矛盾纠纷化解平台，倡导非诉讼方式解决纠纷。拓宽第三方参与矛盾化解的渠道，推进行业性、第三方调解组织和基层人民调解组织建设，推动“两代表一委员”、个人调解工作室进社区。健全社会心理服务体系和危机干预机制。推动社会心理服务建设，各镇（街）建立心理服务中心，全区普通人群心理健康知识知晓率达70%以上。</w:t>
      </w:r>
    </w:p>
    <w:p>
      <w:pPr>
        <w:widowControl w:val="0"/>
        <w:spacing w:line="560" w:lineRule="exact"/>
        <w:ind w:firstLine="640" w:firstLineChars="200"/>
        <w:jc w:val="both"/>
        <w:outlineLvl w:val="2"/>
        <w:rPr>
          <w:rFonts w:ascii="Times New Roman" w:hAnsi="Times New Roman" w:eastAsia="黑体" w:cs="Times New Roman"/>
          <w:sz w:val="32"/>
          <w:szCs w:val="32"/>
        </w:rPr>
      </w:pPr>
      <w:r>
        <w:rPr>
          <w:rFonts w:ascii="Times New Roman" w:hAnsi="Times New Roman" w:eastAsia="黑体" w:cs="Times New Roman"/>
          <w:sz w:val="32"/>
          <w:szCs w:val="32"/>
          <w:lang w:val="zh-CN"/>
        </w:rPr>
        <w:t>四、健全公共安全保障体系</w:t>
      </w:r>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全力做好常态化疫情防控。健全公共安全隐患预防、排查和化解机制，全面提高公共安全保障能力。严格落实安全生产责任制，加强安全生产监管执法，持续开展重点行业领域专项整治，提高企业单位本质安全水平。健全食品药品监管体制机制，保障群众“舌尖上的安全”。提升防洪排涝、森林防火、城市消防、地质灾害等防御工程标准，做好住房安全保障工作。加强应急指挥平台、应急处突队伍和物资保障体系建设，强化综合实战演练，提高防灾减灾救灾能力。</w:t>
      </w:r>
    </w:p>
    <w:p>
      <w:pPr>
        <w:widowControl w:val="0"/>
        <w:spacing w:before="240" w:after="60" w:line="560" w:lineRule="exact"/>
        <w:jc w:val="center"/>
        <w:outlineLvl w:val="1"/>
        <w:rPr>
          <w:rFonts w:ascii="Times New Roman" w:hAnsi="Times New Roman" w:eastAsia="楷体_GB2312" w:cs="Times New Roman"/>
          <w:b/>
          <w:bCs/>
          <w:sz w:val="32"/>
          <w:szCs w:val="32"/>
        </w:rPr>
      </w:pPr>
      <w:bookmarkStart w:id="266" w:name="_Toc22"/>
      <w:r>
        <w:rPr>
          <w:rFonts w:ascii="Times New Roman" w:hAnsi="Times New Roman" w:eastAsia="楷体_GB2312" w:cs="Times New Roman"/>
          <w:b/>
          <w:bCs/>
          <w:sz w:val="32"/>
          <w:szCs w:val="32"/>
        </w:rPr>
        <w:t>第三节  创新五大融合维度，发挥基层治理新效能</w:t>
      </w:r>
      <w:bookmarkEnd w:id="266"/>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坚持以党建为引领，以人民为中心，政治、自治、法治、德治、智治，推动五治融合发展，加快推进治理方式现代化。</w:t>
      </w:r>
    </w:p>
    <w:p>
      <w:pPr>
        <w:widowControl w:val="0"/>
        <w:spacing w:line="560" w:lineRule="exact"/>
        <w:ind w:firstLine="640" w:firstLineChars="200"/>
        <w:jc w:val="both"/>
        <w:outlineLvl w:val="2"/>
        <w:rPr>
          <w:rFonts w:ascii="Times New Roman" w:hAnsi="Times New Roman" w:eastAsia="黑体" w:cs="Times New Roman"/>
          <w:sz w:val="32"/>
          <w:szCs w:val="32"/>
          <w:lang w:val="zh-CN"/>
        </w:rPr>
      </w:pPr>
      <w:r>
        <w:rPr>
          <w:rFonts w:ascii="Times New Roman" w:hAnsi="Times New Roman" w:eastAsia="黑体" w:cs="Times New Roman"/>
          <w:sz w:val="32"/>
          <w:szCs w:val="32"/>
          <w:lang w:val="zh-CN"/>
        </w:rPr>
        <w:t>一、发挥政治引领作用</w:t>
      </w:r>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坚持用习近平新时代中国特色社会主义思想武装头脑，广泛开展理想信念教育和中国梦宣传教育，引导广大党员干部增强“四个意识”，坚定“四个自信”，做到“两个维护”。加强政法机关党的建设，确保政法队伍忠诚本色。</w:t>
      </w:r>
    </w:p>
    <w:p>
      <w:pPr>
        <w:widowControl w:val="0"/>
        <w:spacing w:line="560" w:lineRule="exact"/>
        <w:ind w:firstLine="640" w:firstLineChars="200"/>
        <w:jc w:val="both"/>
        <w:outlineLvl w:val="2"/>
        <w:rPr>
          <w:rFonts w:ascii="Times New Roman" w:hAnsi="Times New Roman" w:eastAsia="黑体" w:cs="Times New Roman"/>
          <w:sz w:val="32"/>
          <w:szCs w:val="32"/>
          <w:lang w:val="zh-CN"/>
        </w:rPr>
      </w:pPr>
      <w:r>
        <w:rPr>
          <w:rFonts w:ascii="Times New Roman" w:hAnsi="Times New Roman" w:eastAsia="黑体" w:cs="Times New Roman"/>
          <w:sz w:val="32"/>
          <w:szCs w:val="32"/>
          <w:lang w:val="zh-CN"/>
        </w:rPr>
        <w:t>二、发挥自治基础作用</w:t>
      </w:r>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明确基层自治权界，制定区、镇（街）两级单位在社区（村）治理方面的权责清单，依法确定社区（村）工作事项。加强群众自治组织规范化建设，所有村（居）设立人民调解委员会、治安保卫委员会。大力开展法治示范社区（村）建设，所有社区（村）建立居（村）民会议、代表会议、议事会、理事会等协商载体。健全以职工代表大会为基本形式的企事业单位民主管理制度，探索职工参与管理的有效方式，保障职工合法权益。</w:t>
      </w:r>
    </w:p>
    <w:p>
      <w:pPr>
        <w:widowControl w:val="0"/>
        <w:spacing w:line="560" w:lineRule="exact"/>
        <w:ind w:firstLine="640" w:firstLineChars="200"/>
        <w:jc w:val="both"/>
        <w:outlineLvl w:val="2"/>
        <w:rPr>
          <w:rFonts w:ascii="Times New Roman" w:hAnsi="Times New Roman" w:eastAsia="黑体" w:cs="Times New Roman"/>
          <w:sz w:val="32"/>
          <w:szCs w:val="32"/>
          <w:lang w:val="zh-CN"/>
        </w:rPr>
      </w:pPr>
      <w:r>
        <w:rPr>
          <w:rFonts w:ascii="Times New Roman" w:hAnsi="Times New Roman" w:eastAsia="黑体" w:cs="Times New Roman"/>
          <w:sz w:val="32"/>
          <w:szCs w:val="32"/>
          <w:lang w:val="zh-CN"/>
        </w:rPr>
        <w:t>三、发挥法治保障作用</w:t>
      </w:r>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推进党委政府法律顾问和公职律师全覆盖，落实区、镇（街）两级重大决策项目依法决策机制。加强行政执法管理，推行行政执法公示制度、执法全过程记录制度和行政机关负责人出庭应诉制度。推进构建完善的政法系统大监督格局，完善党委、纪检监察机关对政法单位的监督机制。落实普法责任制，全民法治宣传教育普及率≥80%。深入推进公共法律服务实体平台建设，提供优质公共法律服务。</w:t>
      </w:r>
    </w:p>
    <w:p>
      <w:pPr>
        <w:widowControl w:val="0"/>
        <w:spacing w:line="560" w:lineRule="exact"/>
        <w:ind w:firstLine="640" w:firstLineChars="200"/>
        <w:jc w:val="both"/>
        <w:outlineLvl w:val="2"/>
        <w:rPr>
          <w:rFonts w:ascii="Times New Roman" w:hAnsi="Times New Roman" w:eastAsia="黑体" w:cs="Times New Roman"/>
          <w:sz w:val="32"/>
          <w:szCs w:val="32"/>
          <w:lang w:val="zh-CN"/>
        </w:rPr>
      </w:pPr>
      <w:r>
        <w:rPr>
          <w:rFonts w:ascii="Times New Roman" w:hAnsi="Times New Roman" w:eastAsia="黑体" w:cs="Times New Roman"/>
          <w:sz w:val="32"/>
          <w:szCs w:val="32"/>
          <w:lang w:val="zh-CN"/>
        </w:rPr>
        <w:t>四、发挥德治先导作用</w:t>
      </w:r>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大力弘扬和践行社会主义核心价值观，以社会主义先进文化陶冶道德情操。发扬“最美西塞人”精神，深入实施公民道德建设工程。加强见义勇为英雄模范评选表彰工作，表彰见义勇为行为。推广五老议事会、宗族理事会做法，开展身边好人、乡贤能人等宣传活动，弘扬时代新风。全面推进社区（村）红白理事会、道德评议会等评议机制，设立善行榜、义举榜等平台，开展星级文明户、文明家庭、平安家庭等评选。所有社区（村）修订或制定村规民约、居民公约，弘扬公序良俗。区级健全守信联合激励和失信联惩机制，开展基层“信用社会”“诚信居民”“道德银行”等活动，增加守信红利，提高失信代价。</w:t>
      </w:r>
    </w:p>
    <w:p>
      <w:pPr>
        <w:widowControl w:val="0"/>
        <w:spacing w:line="560" w:lineRule="exact"/>
        <w:ind w:firstLine="640" w:firstLineChars="200"/>
        <w:jc w:val="both"/>
        <w:outlineLvl w:val="2"/>
        <w:rPr>
          <w:rFonts w:ascii="Times New Roman" w:hAnsi="Times New Roman" w:eastAsia="黑体" w:cs="Times New Roman"/>
          <w:sz w:val="32"/>
          <w:szCs w:val="32"/>
          <w:lang w:val="zh-CN"/>
        </w:rPr>
      </w:pPr>
      <w:r>
        <w:rPr>
          <w:rFonts w:ascii="Times New Roman" w:hAnsi="Times New Roman" w:eastAsia="黑体" w:cs="Times New Roman"/>
          <w:sz w:val="32"/>
          <w:szCs w:val="32"/>
          <w:lang w:val="zh-CN"/>
        </w:rPr>
        <w:t>五、发挥智治支撑作用</w:t>
      </w:r>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推进智慧治理，打造“五联网+”杜会治理模式，大力推进数据深度融合共享，努力实现设施联通、网络畅通、平台贯通、数据融通，不断提升社会治理智能化水平。利用区块链等技术，打通地方、部门、企事业单位之间的信息壁垒，构建覆盖全城、统筹利用、统一接入、灵活服务的数据资源共享体系，实现数据共同维护利用，促进业务协同办理。加快实施“雪亮工程”，推进“智慧平安社区建设”“智慧平安小区建设”等，实现重点区城、重点单位、重点领城、重点路段视频探头全覆盖、全联网。加强政法干部信息化、智能化能力建设。</w:t>
      </w:r>
    </w:p>
    <w:p>
      <w:pPr>
        <w:widowControl w:val="0"/>
        <w:spacing w:line="560" w:lineRule="exact"/>
        <w:ind w:firstLine="640" w:firstLineChars="200"/>
        <w:jc w:val="both"/>
        <w:rPr>
          <w:rFonts w:ascii="Times New Roman" w:hAnsi="Times New Roman" w:eastAsia="黑体" w:cs="Times New Roman"/>
          <w:kern w:val="32"/>
          <w:sz w:val="32"/>
          <w:szCs w:val="32"/>
        </w:rPr>
      </w:pPr>
    </w:p>
    <w:p>
      <w:pPr>
        <w:widowControl w:val="0"/>
        <w:spacing w:line="560" w:lineRule="exact"/>
        <w:ind w:firstLine="640" w:firstLineChars="200"/>
        <w:jc w:val="both"/>
        <w:outlineLvl w:val="0"/>
        <w:rPr>
          <w:rFonts w:ascii="Times New Roman" w:hAnsi="Times New Roman" w:eastAsia="黑体" w:cs="Times New Roman"/>
          <w:kern w:val="32"/>
          <w:sz w:val="32"/>
          <w:szCs w:val="32"/>
        </w:rPr>
      </w:pPr>
      <w:bookmarkStart w:id="267" w:name="_Toc46129073"/>
      <w:bookmarkStart w:id="268" w:name="_Toc51498923"/>
      <w:r>
        <w:rPr>
          <w:rFonts w:ascii="Times New Roman" w:hAnsi="Times New Roman" w:eastAsia="黑体" w:cs="Times New Roman"/>
          <w:kern w:val="32"/>
          <w:sz w:val="32"/>
          <w:szCs w:val="32"/>
        </w:rPr>
        <w:br w:type="page"/>
      </w:r>
      <w:bookmarkStart w:id="269" w:name="_Toc7512"/>
      <w:r>
        <w:rPr>
          <w:rFonts w:ascii="Times New Roman" w:hAnsi="Times New Roman" w:eastAsia="黑体" w:cs="Times New Roman"/>
          <w:kern w:val="32"/>
          <w:sz w:val="32"/>
          <w:szCs w:val="32"/>
        </w:rPr>
        <w:t xml:space="preserve">第十四章 </w:t>
      </w:r>
      <w:bookmarkEnd w:id="267"/>
      <w:r>
        <w:rPr>
          <w:rFonts w:ascii="Times New Roman" w:hAnsi="Times New Roman" w:eastAsia="黑体" w:cs="Times New Roman"/>
          <w:kern w:val="32"/>
          <w:sz w:val="32"/>
          <w:szCs w:val="32"/>
        </w:rPr>
        <w:t xml:space="preserve"> 坚持党的全面领导 为规划实施提供坚强保障</w:t>
      </w:r>
      <w:bookmarkEnd w:id="268"/>
      <w:bookmarkEnd w:id="269"/>
    </w:p>
    <w:p>
      <w:pPr>
        <w:widowControl w:val="0"/>
        <w:spacing w:before="240" w:after="60" w:line="560" w:lineRule="exact"/>
        <w:jc w:val="center"/>
        <w:outlineLvl w:val="1"/>
        <w:rPr>
          <w:rFonts w:ascii="Times New Roman" w:hAnsi="Times New Roman" w:eastAsia="楷体_GB2312" w:cs="Times New Roman"/>
          <w:b/>
          <w:bCs/>
          <w:sz w:val="32"/>
          <w:szCs w:val="32"/>
        </w:rPr>
      </w:pPr>
      <w:bookmarkStart w:id="270" w:name="_Toc51498924"/>
      <w:bookmarkStart w:id="271" w:name="_Toc15268"/>
      <w:r>
        <w:rPr>
          <w:rFonts w:ascii="Times New Roman" w:hAnsi="Times New Roman" w:eastAsia="楷体_GB2312" w:cs="Times New Roman"/>
          <w:b/>
          <w:bCs/>
          <w:sz w:val="32"/>
          <w:szCs w:val="32"/>
        </w:rPr>
        <w:t xml:space="preserve">第一节  </w:t>
      </w:r>
      <w:bookmarkEnd w:id="270"/>
      <w:r>
        <w:rPr>
          <w:rFonts w:ascii="Times New Roman" w:hAnsi="Times New Roman" w:eastAsia="楷体_GB2312" w:cs="Times New Roman"/>
          <w:b/>
          <w:bCs/>
          <w:sz w:val="32"/>
          <w:szCs w:val="32"/>
        </w:rPr>
        <w:t>加强组织保障</w:t>
      </w:r>
      <w:bookmarkEnd w:id="271"/>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坚持党的全面领导，发挥党总揽全局、协调各方领导核心作用。增强“四个意识”，坚定“四个自信”，做到“两个维护”，以党的政治建设为统领，完善上下贯通、执行有力的组织体系，加强党员、干部队伍建设，把各领域的基层党组织建设为党领导的坚强战斗堡垒。坚持和完善“思想引领、学习在先”机制，推动全区深入学习贯彻习近平新时代中国特色社会主义思想，学习运用建党一百年宝贵经验，激励全区党员干部不忘初心、牢记使命，为实现第二个百年奋斗目标不懈奋斗。加强制度建设，完善党委研究经济社会发展战略、定期分析经济形势、研究重大方针政策的工作机制。落实好干部标准，进一步拓宽选人用人视野，严把政治关、廉洁关、素质能力关，健全干部担当作为激励保护机制。强化党员干部队伍思想淬炼、政治历练、实践锻炼、专业训练，全面增强各级领导班子和干部队伍适应新时代发展要求的素养和能力，始终保持精准扶贫精神、战“疫”精神，确保各项目标任务落到实处。深化人才发展体制机制改革，激发人才创新创业活力。认真落实党委主体责任和纪委监督责任，严格执行党风廉政建设责任制，健全惩治和预防腐败体系，建设廉洁政治，努力实现干部清正、政府清廉、政治清明。充分发挥工会、共青团、妇联等群团组织的作用，大力弘扬劳模精神、劳动精神、工匠精神，为全面建设社会主义现代化汇聚强大力量。</w:t>
      </w:r>
    </w:p>
    <w:p>
      <w:pPr>
        <w:widowControl w:val="0"/>
        <w:spacing w:before="240" w:after="60" w:line="560" w:lineRule="exact"/>
        <w:jc w:val="center"/>
        <w:outlineLvl w:val="1"/>
        <w:rPr>
          <w:rFonts w:ascii="Times New Roman" w:hAnsi="Times New Roman" w:eastAsia="楷体_GB2312" w:cs="Times New Roman"/>
          <w:b/>
          <w:bCs/>
          <w:sz w:val="32"/>
          <w:szCs w:val="32"/>
        </w:rPr>
      </w:pPr>
      <w:bookmarkStart w:id="272" w:name="_Toc29434"/>
      <w:r>
        <w:rPr>
          <w:rFonts w:ascii="Times New Roman" w:hAnsi="Times New Roman" w:eastAsia="楷体_GB2312" w:cs="Times New Roman"/>
          <w:b/>
          <w:bCs/>
          <w:sz w:val="32"/>
          <w:szCs w:val="32"/>
        </w:rPr>
        <w:t>第二节  强化规划支撑</w:t>
      </w:r>
      <w:bookmarkEnd w:id="272"/>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持续强化政策、项目和投入支撑，确保规划纲要确立的各项目标任务顺利完成。围绕经济发展、社会民生、科技创新和生态环境，进一步制定完善财税、投资、金融、产业和物价等政策，形成更加有力的政策支撑。围绕“五区”建设，全力打造“五个西塞山”的经济社会发展战略重点，实施一批事关全局和长远发展的重大工程和重点项目，增强发展后劲和可持续发展能力。加大争取省、国家对重大项目的投入力度，进一步优化政府投资结构，重点投向公共社会事业、“三农”建设、基础设施、节能减排和生态环境、自主创新能力建设和结构调整等重点领域，建立健全财政资金绩效评价制度，不断提高财政资金使用效益，进一步优化营商环境，吸引更多社会投资。</w:t>
      </w:r>
    </w:p>
    <w:p>
      <w:pPr>
        <w:widowControl w:val="0"/>
        <w:spacing w:before="240" w:after="60" w:line="560" w:lineRule="exact"/>
        <w:jc w:val="center"/>
        <w:outlineLvl w:val="1"/>
        <w:rPr>
          <w:rFonts w:ascii="Times New Roman" w:hAnsi="Times New Roman" w:eastAsia="楷体_GB2312" w:cs="Times New Roman"/>
          <w:b/>
          <w:bCs/>
          <w:sz w:val="32"/>
          <w:szCs w:val="32"/>
        </w:rPr>
      </w:pPr>
      <w:bookmarkStart w:id="273" w:name="_Toc30972"/>
      <w:r>
        <w:rPr>
          <w:rFonts w:ascii="Times New Roman" w:hAnsi="Times New Roman" w:eastAsia="楷体_GB2312" w:cs="Times New Roman"/>
          <w:b/>
          <w:bCs/>
          <w:sz w:val="32"/>
          <w:szCs w:val="32"/>
        </w:rPr>
        <w:t>第三节  健全实施机制</w:t>
      </w:r>
      <w:bookmarkEnd w:id="273"/>
    </w:p>
    <w:p>
      <w:pPr>
        <w:widowControl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健全规划民主参与、规划衔接、专家咨询、群众听证、批准公布等制度，使规划编制成为协调各方、形成共识的过程。规划经区人民代表大会审议通过后，颁布实施。将规划目标逐年分解，认真贯彻落实。强化认真编制和实施国民经济和社会发展年度计划，分年度落实好纲要提出的目标和任务。区政府各部门要根据自身职责，对所负责领域的任务，制定有针对性的具体实施方案，贯彻落实好总体规划确定的任务。各部门、乡镇（街道）、村（社区）要贯彻本纲要精神，实施好本区域的经济和社会发展规划。加强总体规划与专项规划、区域规划在总体要求、发展目标、发展重点及重大项目布局等方面的衔接。围绕规划提出的目标和任务，加强经济社会发展政策的统筹协调，注重政策目标与政策工具、短期政策与长期政策的衔接。建立健全规划监测评估制度和动态调整机制，对本规划提出的重大任务执行情况进行制度化检查评估，及时发现问题，认真分析产生问题的原因，提出有针对性的对策建议，为纲要的动态调整提供依据。制定并完善有利于推动规划实施的绩效评价考核体系和具体考核办法，推进规划实施信息公开，健全政府与企业、公众的信息沟通与反馈机制，接受公众监督。</w:t>
      </w:r>
    </w:p>
    <w:p>
      <w:pPr>
        <w:widowControl w:val="0"/>
        <w:spacing w:line="560" w:lineRule="exact"/>
        <w:ind w:firstLine="640" w:firstLineChars="200"/>
        <w:jc w:val="both"/>
        <w:rPr>
          <w:rFonts w:ascii="Times New Roman" w:hAnsi="Times New Roman" w:eastAsia="仿宋_GB2312" w:cs="Times New Roman"/>
        </w:rPr>
      </w:pPr>
      <w:r>
        <w:rPr>
          <w:rFonts w:ascii="Times New Roman" w:hAnsi="Times New Roman" w:eastAsia="仿宋_GB2312" w:cs="Times New Roman"/>
          <w:sz w:val="32"/>
          <w:szCs w:val="32"/>
        </w:rPr>
        <w:t>“十四五”时期是西塞山积极应对国内外发展环境重大变化的新时期，是深入贯彻落实习近平新时代中国特色社会主义思想、全面落实党的十九大提出的“第二个百年”战略目标的新时期，也是加快西塞山区扎实推进“五区”建设，全力打造“五个西塞山”的关键时期，实现“十四五”规划和二</w:t>
      </w:r>
      <w:r>
        <w:rPr>
          <w:rFonts w:ascii="Times New Roman" w:hAnsi="Times New Roman" w:eastAsia="微软雅黑" w:cs="Times New Roman"/>
          <w:sz w:val="32"/>
          <w:szCs w:val="32"/>
        </w:rPr>
        <w:t>〇</w:t>
      </w:r>
      <w:r>
        <w:rPr>
          <w:rFonts w:ascii="Times New Roman" w:hAnsi="Times New Roman" w:eastAsia="仿宋_GB2312" w:cs="Times New Roman"/>
          <w:sz w:val="32"/>
          <w:szCs w:val="32"/>
        </w:rPr>
        <w:t>三五年远景目标，意义重大，任务艰巨，前景光明。全区人民要紧密团结在以习近平同志为核心的党中央周围，主动作为、奋发有为、担当善为，夺取全面建设社会主义现代化强区新胜利！</w:t>
      </w:r>
    </w:p>
    <w:p>
      <w:pPr>
        <w:pStyle w:val="2"/>
        <w:rPr>
          <w:rFonts w:hint="default"/>
          <w:lang w:val="en-US" w:eastAsia="zh-CN"/>
        </w:rPr>
      </w:pPr>
    </w:p>
    <w:bookmarkEnd w:id="274"/>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Batang">
    <w:panose1 w:val="02030600000101010101"/>
    <w:charset w:val="81"/>
    <w:family w:val="roma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w:t>
    </w:r>
    <w:r>
      <w:rPr>
        <w:rFonts w:ascii="Times New Roman" w:hAnsi="Times New Roman" w:cs="Times New Roman"/>
      </w:rPr>
      <w:fldChar w:fldCharType="end"/>
    </w:r>
  </w:p>
  <w:p>
    <w:pPr>
      <w:pStyle w:val="5"/>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8306"/>
      </w:tabs>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3368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33680" cy="1828800"/>
                      </a:xfrm>
                      <a:prstGeom prst="rect">
                        <a:avLst/>
                      </a:prstGeom>
                      <a:noFill/>
                      <a:ln w="6350">
                        <a:noFill/>
                      </a:ln>
                      <a:effectLst/>
                    </wps:spPr>
                    <wps:txbx>
                      <w:txbxContent>
                        <w:p>
                          <w:pPr>
                            <w:pStyle w:val="5"/>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94</w:t>
                          </w:r>
                          <w:r>
                            <w:rPr>
                              <w:rFonts w:ascii="Times New Roman" w:hAnsi="Times New Roman" w:cs="Times New Roman"/>
                            </w:rPr>
                            <w:fldChar w:fldCharType="end"/>
                          </w:r>
                        </w:p>
                      </w:txbxContent>
                    </wps:txbx>
                    <wps:bodyPr lIns="0" tIns="0" rIns="0" bIns="0" upright="1">
                      <a:spAutoFit/>
                    </wps:bodyPr>
                  </wps:wsp>
                </a:graphicData>
              </a:graphic>
            </wp:anchor>
          </w:drawing>
        </mc:Choice>
        <mc:Fallback>
          <w:pict>
            <v:shape id="_x0000_s1026" o:spid="_x0000_s1026" o:spt="202" type="#_x0000_t202" style="position:absolute;left:0pt;margin-top:0pt;height:144pt;width:18.4pt;mso-position-horizontal:center;mso-position-horizontal-relative:margin;z-index:251659264;mso-width-relative:page;mso-height-relative:page;" filled="f" stroked="f" coordsize="21600,21600" o:gfxdata="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4h/6LdMAAAAEAQAADwAAAAAAAAABACAAAAAiAAAA&#10;ZHJzL2Rvd25yZXYueG1sUEsBAhQAFAAAAAgAh07iQJHL/cnTAQAAowMAAA4AAAAAAAAAAQAgAAAA&#10;IgEAAGRycy9lMm9Eb2MueG1sUEsFBgAAAAAGAAYAWQEAAGcFAAAAAA==&#10;">
              <v:fill on="f" focussize="0,0"/>
              <v:stroke on="f" weight="0.5pt"/>
              <v:imagedata o:title=""/>
              <o:lock v:ext="edit" aspectratio="f"/>
              <v:textbox inset="0mm,0mm,0mm,0mm" style="mso-fit-shape-to-text:t;">
                <w:txbxContent>
                  <w:p>
                    <w:pPr>
                      <w:pStyle w:val="5"/>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94</w:t>
                    </w:r>
                    <w:r>
                      <w:rPr>
                        <w:rFonts w:ascii="Times New Roman" w:hAnsi="Times New Roman" w:cs="Times New Roma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7"/>
        <w:spacing w:before="156" w:after="156"/>
        <w:ind w:firstLine="360"/>
      </w:pPr>
      <w:r>
        <w:rPr>
          <w:rStyle w:val="12"/>
        </w:rPr>
        <w:footnoteRef/>
      </w:r>
      <w:r>
        <w:t xml:space="preserve"> </w:t>
      </w:r>
      <w:r>
        <w:rPr>
          <w:rFonts w:hint="eastAsia" w:cs="宋体"/>
        </w:rPr>
        <w:t>三心领六区、三轴连三带：文化中心、创智中心、发展中心，成长江生态修复片区、西塞公园文化片区、夏浴创智研发片区、河口居住发展片区、山体生态修复片区、转型升级示范片区，文化轴、创智轴、生活轴，生态文化带、转型产业带、山体修复带。</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hMzY0YjJjMTAxNDBlOWVjMGQ5MGE4OTM4ZjJjMGYifQ=="/>
  </w:docVars>
  <w:rsids>
    <w:rsidRoot w:val="339632C8"/>
    <w:rsid w:val="193969FF"/>
    <w:rsid w:val="339632C8"/>
    <w:rsid w:val="6F9F5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3"/>
    <w:basedOn w:val="1"/>
    <w:next w:val="1"/>
    <w:qFormat/>
    <w:uiPriority w:val="99"/>
    <w:pPr>
      <w:keepNext/>
      <w:keepLines/>
      <w:spacing w:before="260" w:after="260" w:line="416" w:lineRule="auto"/>
      <w:outlineLvl w:val="2"/>
    </w:pPr>
    <w:rPr>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overflowPunct w:val="0"/>
      <w:ind w:firstLine="840" w:firstLineChars="200"/>
    </w:pPr>
    <w:rPr>
      <w:rFonts w:ascii="Times New Roman" w:hAnsi="Times New Roman" w:cs="Times New Roman"/>
    </w:rPr>
  </w:style>
  <w:style w:type="paragraph" w:styleId="3">
    <w:name w:val="Body Text Indent"/>
    <w:basedOn w:val="1"/>
    <w:next w:val="2"/>
    <w:qFormat/>
    <w:uiPriority w:val="99"/>
    <w:pPr>
      <w:ind w:left="420" w:leftChars="200"/>
    </w:pPr>
  </w:style>
  <w:style w:type="paragraph" w:styleId="5">
    <w:name w:val="footer"/>
    <w:basedOn w:val="1"/>
    <w:qFormat/>
    <w:uiPriority w:val="99"/>
    <w:pPr>
      <w:tabs>
        <w:tab w:val="center" w:pos="4153"/>
        <w:tab w:val="right" w:pos="8306"/>
      </w:tabs>
      <w:snapToGrid w:val="0"/>
    </w:pPr>
    <w:rPr>
      <w:sz w:val="18"/>
      <w:szCs w:val="18"/>
    </w:rPr>
  </w:style>
  <w:style w:type="paragraph" w:styleId="6">
    <w:name w:val="toc 1"/>
    <w:basedOn w:val="1"/>
    <w:next w:val="1"/>
    <w:qFormat/>
    <w:uiPriority w:val="39"/>
  </w:style>
  <w:style w:type="paragraph" w:styleId="7">
    <w:name w:val="footnote text"/>
    <w:basedOn w:val="1"/>
    <w:semiHidden/>
    <w:qFormat/>
    <w:uiPriority w:val="99"/>
    <w:pPr>
      <w:widowControl w:val="0"/>
      <w:snapToGrid w:val="0"/>
      <w:jc w:val="both"/>
    </w:pPr>
    <w:rPr>
      <w:rFonts w:ascii="Times New Roman" w:hAnsi="Times New Roman" w:eastAsia="宋体" w:cs="Times New Roman"/>
      <w:kern w:val="2"/>
      <w:sz w:val="18"/>
      <w:szCs w:val="18"/>
    </w:rPr>
  </w:style>
  <w:style w:type="paragraph" w:styleId="8">
    <w:name w:val="toc 2"/>
    <w:basedOn w:val="1"/>
    <w:next w:val="1"/>
    <w:qFormat/>
    <w:uiPriority w:val="39"/>
    <w:pPr>
      <w:ind w:left="420" w:leftChars="200"/>
    </w:pPr>
  </w:style>
  <w:style w:type="paragraph" w:styleId="9">
    <w:name w:val="Normal (Web)"/>
    <w:basedOn w:val="1"/>
    <w:qFormat/>
    <w:uiPriority w:val="0"/>
    <w:pPr>
      <w:widowControl w:val="0"/>
      <w:spacing w:before="100" w:beforeAutospacing="1" w:after="100" w:afterAutospacing="1"/>
      <w:ind w:firstLine="200" w:firstLineChars="200"/>
    </w:pPr>
    <w:rPr>
      <w:rFonts w:eastAsia="仿宋_GB2312"/>
    </w:rPr>
  </w:style>
  <w:style w:type="character" w:styleId="12">
    <w:name w:val="footnote reference"/>
    <w:semiHidden/>
    <w:qFormat/>
    <w:uiPriority w:val="99"/>
    <w:rPr>
      <w:vertAlign w:val="superscript"/>
    </w:rPr>
  </w:style>
  <w:style w:type="paragraph" w:styleId="13">
    <w:name w:val="List Paragraph"/>
    <w:basedOn w:val="1"/>
    <w:qFormat/>
    <w:uiPriority w:val="99"/>
    <w:pPr>
      <w:spacing w:line="420" w:lineRule="exact"/>
      <w:ind w:firstLine="420" w:firstLineChars="200"/>
      <w:jc w:val="both"/>
    </w:pPr>
    <w:rPr>
      <w:rFonts w:ascii="Times New Roman" w:hAnsi="Times New Roman" w:eastAsia="宋体" w:cs="Times New Roman"/>
      <w:kern w:val="2"/>
    </w:rPr>
  </w:style>
  <w:style w:type="paragraph" w:customStyle="1" w:styleId="14">
    <w:name w:val="无间隔1"/>
    <w:basedOn w:val="1"/>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100</Pages>
  <Words>51518</Words>
  <Characters>52566</Characters>
  <Lines>0</Lines>
  <Paragraphs>0</Paragraphs>
  <TotalTime>5</TotalTime>
  <ScaleCrop>false</ScaleCrop>
  <LinksUpToDate>false</LinksUpToDate>
  <CharactersWithSpaces>52995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2022-01-04T04:50:00Z</dcterms:created>
  <dc:creator>Administrator</dc:creator>
  <cp:lastModifiedBy>温差</cp:lastModifiedBy>
  <dcterms:modified xsi:type="dcterms:W3CDTF">2022-06-27T05:07:40Z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5A84AB104E8C4F86AD50541AC1846742</vt:lpwstr>
  </property>
</Properties>
</file>