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84208">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年工作总结和202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年工作计划</w:t>
      </w:r>
    </w:p>
    <w:p w14:paraId="247F3815">
      <w:pPr>
        <w:spacing w:line="560" w:lineRule="exact"/>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西塞山区财政局</w:t>
      </w:r>
    </w:p>
    <w:p w14:paraId="19FF5126">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月）</w:t>
      </w:r>
    </w:p>
    <w:p w14:paraId="66867931">
      <w:pPr>
        <w:widowControl w:val="0"/>
        <w:spacing w:line="560" w:lineRule="exact"/>
        <w:ind w:firstLine="640" w:firstLineChars="200"/>
        <w:jc w:val="both"/>
        <w:rPr>
          <w:rFonts w:ascii="仿宋_GB2312" w:hAnsi="等线" w:eastAsia="仿宋_GB2312" w:cs="宋体"/>
          <w:kern w:val="2"/>
          <w:sz w:val="32"/>
          <w:szCs w:val="32"/>
        </w:rPr>
      </w:pPr>
    </w:p>
    <w:p w14:paraId="2CED52A4">
      <w:pPr>
        <w:widowControl w:val="0"/>
        <w:spacing w:line="560" w:lineRule="exact"/>
        <w:ind w:firstLine="640" w:firstLineChars="200"/>
        <w:jc w:val="both"/>
        <w:rPr>
          <w:rFonts w:ascii="仿宋_GB2312" w:hAnsi="黑体" w:eastAsia="仿宋_GB2312" w:cs="Times New Roman"/>
          <w:kern w:val="2"/>
          <w:sz w:val="32"/>
          <w:szCs w:val="32"/>
        </w:rPr>
      </w:pPr>
      <w:r>
        <w:rPr>
          <w:rFonts w:hint="eastAsia" w:ascii="仿宋_GB2312" w:hAnsi="等线" w:eastAsia="仿宋_GB2312" w:cs="宋体"/>
          <w:kern w:val="2"/>
          <w:sz w:val="32"/>
          <w:szCs w:val="32"/>
        </w:rPr>
        <w:t>2023年西塞山区</w:t>
      </w:r>
      <w:r>
        <w:rPr>
          <w:rFonts w:hint="eastAsia" w:ascii="仿宋_GB2312" w:hAnsi="黑体" w:eastAsia="仿宋_GB2312" w:cs="Times New Roman"/>
          <w:kern w:val="2"/>
          <w:sz w:val="32"/>
          <w:szCs w:val="32"/>
        </w:rPr>
        <w:t>以习近平新时代中国特色社会主义思想为指导，</w:t>
      </w:r>
      <w:r>
        <w:rPr>
          <w:rFonts w:hint="eastAsia" w:ascii="仿宋_GB2312" w:hAnsi="等线" w:eastAsia="仿宋_GB2312" w:cs="宋体"/>
          <w:kern w:val="2"/>
          <w:sz w:val="32"/>
          <w:szCs w:val="32"/>
        </w:rPr>
        <w:t>深入贯彻党的二十大精神，</w:t>
      </w:r>
      <w:r>
        <w:rPr>
          <w:rFonts w:hint="eastAsia" w:ascii="仿宋_GB2312" w:hAnsi="黑体" w:eastAsia="仿宋_GB2312" w:cs="Times New Roman"/>
          <w:kern w:val="2"/>
          <w:sz w:val="32"/>
          <w:szCs w:val="32"/>
        </w:rPr>
        <w:t>坚持稳中求进工作总基调，统筹经济社会发展</w:t>
      </w:r>
      <w:r>
        <w:rPr>
          <w:rFonts w:hint="eastAsia" w:ascii="仿宋_GB2312" w:hAnsi="等线" w:eastAsia="仿宋_GB2312" w:cs="宋体"/>
          <w:kern w:val="2"/>
          <w:sz w:val="32"/>
          <w:szCs w:val="32"/>
        </w:rPr>
        <w:t>。一年来，面对大规模减税降费以及系列稳经济大盘一揽子政策陆续实施，财政收支平衡压力大的严峻形势，区财政局</w:t>
      </w:r>
      <w:r>
        <w:rPr>
          <w:rFonts w:hint="eastAsia" w:ascii="仿宋_GB2312" w:hAnsi="黑体" w:eastAsia="仿宋_GB2312" w:cs="Times New Roman"/>
          <w:kern w:val="2"/>
          <w:sz w:val="32"/>
          <w:szCs w:val="32"/>
        </w:rPr>
        <w:t>贯彻落实区委、区政府决策部署，主动接受人大、政协监督，落实减税降费政策，紧盯关键节点确保收入应收尽收，牢固树立过紧日子思想，严控一般性支出。深化预算绩效管理，以预算一体化改革为抓手，着力提高预算编制的科学性和准确性，兜牢“三保”底线，增强财政可持续性，保持全区经济平稳运行。</w:t>
      </w:r>
    </w:p>
    <w:p w14:paraId="30E51FD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一、2022年财政收支情况</w:t>
      </w:r>
    </w:p>
    <w:p w14:paraId="34AA63F7">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（一）财政收入情况</w:t>
      </w:r>
    </w:p>
    <w:p w14:paraId="231EFF19">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2023年一般公共预算收入预计完成71000万元，占调整预算71000万元的100%，同比增长7%</w:t>
      </w:r>
    </w:p>
    <w:p w14:paraId="2ED46AE7">
      <w:pPr>
        <w:numPr>
          <w:ilvl w:val="0"/>
          <w:numId w:val="1"/>
        </w:numPr>
        <w:spacing w:line="560" w:lineRule="exact"/>
        <w:ind w:firstLine="643" w:firstLineChars="200"/>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sz w:val="32"/>
          <w:szCs w:val="32"/>
        </w:rPr>
        <w:t>财政支出情况</w:t>
      </w:r>
    </w:p>
    <w:p w14:paraId="64E81074">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2023年一般公共预算支出预计完成93000万元，占调整预算105205万元的88%,同比下降9.28%</w:t>
      </w:r>
    </w:p>
    <w:p w14:paraId="31DF784C">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黑体" w:hAnsi="宋体" w:eastAsia="黑体" w:cs="黑体"/>
          <w:color w:val="000000"/>
          <w:sz w:val="32"/>
          <w:szCs w:val="32"/>
        </w:rPr>
      </w:pPr>
    </w:p>
    <w:p w14:paraId="259F3468">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hAnsi="仿宋_GB2312" w:eastAsia="仿宋_GB2312" w:cs="仿宋_GB2312"/>
          <w:b/>
          <w:bCs/>
          <w:sz w:val="32"/>
          <w:szCs w:val="32"/>
        </w:rPr>
      </w:pPr>
      <w:r>
        <w:rPr>
          <w:rFonts w:hint="eastAsia" w:ascii="黑体" w:hAnsi="宋体" w:eastAsia="黑体" w:cs="黑体"/>
          <w:color w:val="000000"/>
          <w:sz w:val="32"/>
          <w:szCs w:val="32"/>
        </w:rPr>
        <w:t>二、202</w:t>
      </w:r>
      <w:r>
        <w:rPr>
          <w:rFonts w:hint="eastAsia" w:ascii="黑体" w:hAnsi="宋体" w:eastAsia="黑体" w:cs="黑体"/>
          <w:color w:val="000000"/>
          <w:sz w:val="32"/>
          <w:szCs w:val="32"/>
          <w:lang w:val="en-US" w:eastAsia="zh-CN"/>
        </w:rPr>
        <w:t>3</w:t>
      </w:r>
      <w:r>
        <w:rPr>
          <w:rFonts w:hint="eastAsia" w:ascii="黑体" w:hAnsi="宋体" w:eastAsia="黑体" w:cs="黑体"/>
          <w:color w:val="000000"/>
          <w:sz w:val="32"/>
          <w:szCs w:val="32"/>
        </w:rPr>
        <w:t>年工作完成情况</w:t>
      </w:r>
    </w:p>
    <w:p w14:paraId="33F84102">
      <w:pPr>
        <w:widowControl w:val="0"/>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1、强化收支管理。</w:t>
      </w:r>
      <w:r>
        <w:rPr>
          <w:rFonts w:hint="eastAsia" w:ascii="仿宋_GB2312" w:hAnsi="仿宋_GB2312" w:eastAsia="仿宋_GB2312" w:cs="仿宋_GB2312"/>
          <w:sz w:val="32"/>
          <w:szCs w:val="32"/>
        </w:rPr>
        <w:t>一</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优化支出结构，集中财力保障民生支出和维护社会政治安定和治安大局稳定的综合治理支出，全区用于民生及社会事业发展支出28146万元。</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加强三公经费管理，三季度累计“三公”经费支出总计99.55万元，实际使用金额占全年预算数的47.31%。</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高度重视认真研究部署直达资金相关工作，截至目前，我区共收到直达资金19185.26万元，支出金额17174.41万元，支出进度为89.5%。</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开展2022年老旧小区改造、残联、卫健系统整体支出等专项资金8741万元绩效评价工作，落实绩效评价结果应用，</w:t>
      </w:r>
      <w:r>
        <w:rPr>
          <w:rFonts w:hint="eastAsia" w:ascii="Times New Roman" w:hAnsi="Times New Roman" w:eastAsia="仿宋_GB2312" w:cs="Times New Roman"/>
          <w:bCs/>
          <w:sz w:val="32"/>
          <w:szCs w:val="32"/>
        </w:rPr>
        <w:t>切实保障预算绩效管理100%全覆盖。</w:t>
      </w:r>
    </w:p>
    <w:p w14:paraId="7AC71091">
      <w:pPr>
        <w:widowControl w:val="0"/>
        <w:spacing w:line="540" w:lineRule="exact"/>
        <w:ind w:firstLine="643" w:firstLineChars="200"/>
      </w:pPr>
      <w:r>
        <w:rPr>
          <w:rFonts w:hint="eastAsia" w:ascii="仿宋_GB2312" w:hAnsi="仿宋_GB2312" w:eastAsia="仿宋_GB2312" w:cs="仿宋_GB2312"/>
          <w:b/>
          <w:bCs/>
          <w:sz w:val="32"/>
          <w:szCs w:val="32"/>
        </w:rPr>
        <w:t>2、积极对上争取。一是</w:t>
      </w:r>
      <w:r>
        <w:rPr>
          <w:rFonts w:hint="eastAsia" w:ascii="仿宋_GB2312" w:hAnsi="仿宋_GB2312" w:eastAsia="仿宋_GB2312" w:cs="仿宋_GB2312"/>
          <w:sz w:val="32"/>
          <w:szCs w:val="32"/>
        </w:rPr>
        <w:t>争取上级资金近47492万元。</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争取市级调度资金66513万元，含新冶钢406亩项目资金6182万元。三</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积极争取政府债券资金，围绕项目争取新增一般债券资金6000万元、新增专项债券资金22400万元、再融资一般债券资金3735万元，有力保障了区级建设项目，减轻区级还款压力。同时，</w:t>
      </w:r>
      <w:r>
        <w:rPr>
          <w:rFonts w:hint="eastAsia" w:ascii="仿宋_GB2312" w:hAnsi="仿宋_GB2312" w:eastAsia="仿宋_GB2312" w:cs="仿宋_GB2312"/>
          <w:bCs/>
          <w:sz w:val="32"/>
          <w:szCs w:val="32"/>
        </w:rPr>
        <w:t>做好了防范化解政府债务风险工作。完善重点工作报告制度，定期</w:t>
      </w:r>
      <w:r>
        <w:rPr>
          <w:rFonts w:hint="eastAsia" w:ascii="仿宋_GB2312" w:hAnsi="仿宋_GB2312" w:eastAsia="仿宋_GB2312" w:cs="仿宋_GB2312"/>
          <w:sz w:val="32"/>
          <w:szCs w:val="32"/>
        </w:rPr>
        <w:t>向区委、区政府报告了债务情况。</w:t>
      </w:r>
      <w:r>
        <w:rPr>
          <w:rFonts w:hint="eastAsia" w:ascii="仿宋_GB2312" w:hAnsi="仿宋_GB2312" w:eastAsia="仿宋_GB2312" w:cs="仿宋_GB2312"/>
          <w:bCs/>
          <w:sz w:val="32"/>
          <w:szCs w:val="32"/>
        </w:rPr>
        <w:t>落实债务还本付息责任，债务风险总体可控。</w:t>
      </w:r>
    </w:p>
    <w:p w14:paraId="2B1EFDC4">
      <w:pPr>
        <w:widowControl w:val="0"/>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3、严肃财经纪律管理。一是</w:t>
      </w:r>
      <w:r>
        <w:rPr>
          <w:rFonts w:hint="eastAsia" w:ascii="仿宋_GB2312" w:hAnsi="仿宋_GB2312" w:eastAsia="仿宋_GB2312" w:cs="仿宋_GB2312"/>
          <w:sz w:val="32"/>
          <w:szCs w:val="32"/>
        </w:rPr>
        <w:t>贯彻落实《关于进一步加强财会监督工作的意见》，聚焦财经领域重大案件查处、财经纪律重点问题整治。</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联合区审计局成立专项监督检查小组，对区直部门节假日前后的财务支出情况开展专项检查。</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督促和指导被巡察单位的财务问题整改，并对整改情况作出认定评估，本年度完成巡察移交财务方面问题整改单位9家，涉及问题40个。</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对3家区属行政事业单位和1家辖区代理记账企业开展了会计信息质量监督检查工作，对检查过程中发现存在的违规问题移送区纪委监委。</w:t>
      </w:r>
    </w:p>
    <w:p w14:paraId="756EACDD">
      <w:pPr>
        <w:pStyle w:val="8"/>
        <w:widowControl w:val="0"/>
        <w:spacing w:line="540" w:lineRule="exact"/>
        <w:ind w:firstLine="643" w:firstLineChars="200"/>
        <w:rPr>
          <w:rFonts w:hint="default" w:ascii="仿宋_GB2312" w:hAnsi="仿宋_GB2312" w:eastAsia="仿宋_GB2312" w:cs="仿宋_GB2312"/>
          <w:lang w:bidi="ar"/>
        </w:rPr>
      </w:pPr>
      <w:r>
        <w:rPr>
          <w:rFonts w:ascii="仿宋_GB2312" w:hAnsi="仿宋_GB2312" w:eastAsia="仿宋_GB2312" w:cs="仿宋_GB2312"/>
          <w:b/>
          <w:bCs/>
        </w:rPr>
        <w:t>4、</w:t>
      </w:r>
      <w:r>
        <w:rPr>
          <w:rFonts w:ascii="仿宋_GB2312" w:hAnsi="仿宋_GB2312" w:eastAsia="仿宋_GB2312" w:cs="仿宋_GB2312"/>
          <w:b/>
          <w:bCs/>
          <w:color w:val="auto"/>
        </w:rPr>
        <w:t>优化政府采购营商环境。</w:t>
      </w:r>
      <w:r>
        <w:rPr>
          <w:rFonts w:ascii="仿宋_GB2312" w:hAnsi="仿宋_GB2312" w:eastAsia="仿宋_GB2312" w:cs="仿宋_GB2312"/>
          <w:lang w:bidi="ar"/>
        </w:rPr>
        <w:t>大力推进政府采购政策功能落实，重点抓好政府采购支持绿色建材促进建筑品质提升的国家级试点工作，规范政府采购质疑、投诉、举报处理工作。开展政府采购项目预算绩效管理的改革亮点工作，通过电子化平台系统对采购单位重要项目从政府采购预算编制到采购预算执行进行政府采购项目预算绩效评价。在爱心消费助农兴农上持续“加力”，督促全区各预算单位通过832平台采购农副产品，持续巩固拓展脱贫攻坚成果。</w:t>
      </w:r>
    </w:p>
    <w:p w14:paraId="4C2373D0">
      <w:pPr>
        <w:widowControl w:val="0"/>
        <w:overflowPunct w:val="0"/>
        <w:spacing w:line="54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5、稳步推进国资管理工作落实到地。一是</w:t>
      </w:r>
      <w:r>
        <w:rPr>
          <w:rFonts w:hint="eastAsia" w:ascii="仿宋_GB2312" w:hAnsi="仿宋_GB2312" w:eastAsia="仿宋_GB2312" w:cs="仿宋_GB2312"/>
          <w:sz w:val="32"/>
          <w:szCs w:val="32"/>
        </w:rPr>
        <w:t>实时掌握国有资产处置数据。截至目前，全区行政事业性国有资产处置资产原值合计120.6万元。</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积极做好我区“预算一体化资产管理系统资产模块”迁移工作，为后期行政事业性资产科学、规范管理打基础。</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落实市财政局2023年度“减免1个月租金，缓缴3个月租金”的房屋租</w:t>
      </w:r>
      <w:bookmarkStart w:id="0" w:name="_GoBack"/>
      <w:bookmarkEnd w:id="0"/>
      <w:r>
        <w:rPr>
          <w:rFonts w:hint="eastAsia" w:ascii="仿宋_GB2312" w:hAnsi="仿宋_GB2312" w:eastAsia="仿宋_GB2312" w:cs="仿宋_GB2312"/>
          <w:sz w:val="32"/>
          <w:szCs w:val="32"/>
        </w:rPr>
        <w:t>金减免政策，全年共计减免租金25.1万元、缓缴租金75.3万元。</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下发《关于进一步规范西塞山区经营性国有资产租赁管理的通知》，规范了国有资产租赁程序，</w:t>
      </w:r>
      <w:r>
        <w:rPr>
          <w:rFonts w:hint="eastAsia" w:ascii="仿宋_GB2312" w:hAnsi="仿宋_GB2312" w:eastAsia="仿宋_GB2312" w:cs="仿宋_GB2312"/>
          <w:color w:val="000000"/>
          <w:sz w:val="32"/>
          <w:szCs w:val="32"/>
        </w:rPr>
        <w:t>防止国有资产、资金流失。</w:t>
      </w:r>
    </w:p>
    <w:p w14:paraId="608B0E18">
      <w:pPr>
        <w:widowControl w:val="0"/>
        <w:spacing w:line="540" w:lineRule="exact"/>
        <w:ind w:firstLine="643" w:firstLineChars="200"/>
        <w:rPr>
          <w:rFonts w:ascii="仿宋_GB2312" w:hAnsi="仿宋_GB2312" w:eastAsia="仿宋_GB2312" w:cs="仿宋_GB2312"/>
          <w:kern w:val="2"/>
          <w:sz w:val="32"/>
          <w:szCs w:val="32"/>
        </w:rPr>
      </w:pPr>
      <w:r>
        <w:rPr>
          <w:rFonts w:hint="eastAsia" w:ascii="仿宋_GB2312" w:hAnsi="仿宋_GB2312" w:eastAsia="仿宋_GB2312" w:cs="仿宋_GB2312"/>
          <w:b/>
          <w:bCs/>
          <w:sz w:val="32"/>
          <w:szCs w:val="32"/>
        </w:rPr>
        <w:t>6、促进党建引领财政工作。</w:t>
      </w:r>
      <w:r>
        <w:rPr>
          <w:rFonts w:hint="eastAsia" w:ascii="仿宋_GB2312" w:hAnsi="仿宋_GB2312" w:eastAsia="仿宋_GB2312" w:cs="仿宋_GB2312"/>
          <w:b/>
          <w:bCs/>
          <w:kern w:val="2"/>
          <w:sz w:val="32"/>
          <w:szCs w:val="32"/>
        </w:rPr>
        <w:t>一是</w:t>
      </w:r>
      <w:r>
        <w:rPr>
          <w:rFonts w:hint="eastAsia" w:ascii="仿宋_GB2312" w:hAnsi="仿宋_GB2312" w:eastAsia="仿宋_GB2312" w:cs="仿宋_GB2312"/>
          <w:kern w:val="2"/>
          <w:sz w:val="32"/>
          <w:szCs w:val="32"/>
        </w:rPr>
        <w:t>围绕“学思想、强党性、重实践、建新功”的要求，高标准、高质量开展好主题教育，党组开会专题研究了主题教育工作，通过各种活动紧紧围绕习近平新时代中国特色社会主义思想开展学习。</w:t>
      </w:r>
      <w:r>
        <w:rPr>
          <w:rFonts w:hint="eastAsia" w:ascii="仿宋_GB2312" w:hAnsi="仿宋_GB2312" w:eastAsia="仿宋_GB2312" w:cs="仿宋_GB2312"/>
          <w:b/>
          <w:bCs/>
          <w:kern w:val="2"/>
          <w:sz w:val="32"/>
          <w:szCs w:val="32"/>
        </w:rPr>
        <w:t>二是</w:t>
      </w:r>
      <w:r>
        <w:rPr>
          <w:rFonts w:hint="eastAsia" w:ascii="仿宋_GB2312" w:hAnsi="仿宋_GB2312" w:eastAsia="仿宋_GB2312" w:cs="仿宋_GB2312"/>
          <w:kern w:val="2"/>
          <w:sz w:val="32"/>
          <w:szCs w:val="32"/>
        </w:rPr>
        <w:t>积极开展为民服务实践活动，目前，全局党员干部下基层次数合计58次，有力推进了反映的民生问题。</w:t>
      </w:r>
      <w:r>
        <w:rPr>
          <w:rFonts w:hint="eastAsia" w:ascii="仿宋_GB2312" w:hAnsi="仿宋_GB2312" w:eastAsia="仿宋_GB2312" w:cs="仿宋_GB2312"/>
          <w:b/>
          <w:bCs/>
          <w:kern w:val="2"/>
          <w:sz w:val="32"/>
          <w:szCs w:val="32"/>
        </w:rPr>
        <w:t>三是</w:t>
      </w:r>
      <w:r>
        <w:rPr>
          <w:rFonts w:hint="eastAsia" w:ascii="仿宋_GB2312" w:hAnsi="仿宋_GB2312" w:eastAsia="仿宋_GB2312" w:cs="仿宋_GB2312"/>
          <w:kern w:val="2"/>
          <w:sz w:val="32"/>
          <w:szCs w:val="32"/>
        </w:rPr>
        <w:t>加强作风建设，严格落实中央八项规定及实施细则精神，驰而不息纠正“四风”问题，积极开展清廉机关建设，着力营造风清气正的工作环境。</w:t>
      </w:r>
    </w:p>
    <w:p w14:paraId="12CFC56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总体来看，今年以来在区委、区政府的坚强领导下，我们全力以赴压减一般性支出，调整优化支出结构，集中财力办大事、保重点，坚决兜牢“三保”底线，有力推动重大决策部署落地落效。同时，近年来受疫情冲击、经济下行等多重因素影响，我们也深感财政工作责任重大、任务艰巨，深刻认识到财政运行面临着与日俱增的挑战，严守财政风险底线，推进我区高质量发展，需要充分发挥财政职能作用，戮力同心，攻坚克难，推动积极的财税政策持续发力。</w:t>
      </w:r>
    </w:p>
    <w:p w14:paraId="0476E0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068B86-77BD-45C5-BC38-8812691244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E79D571-E9CA-472C-BFDB-1E6C0FCC9125}"/>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00000000000000000"/>
    <w:charset w:val="86"/>
    <w:family w:val="script"/>
    <w:pitch w:val="default"/>
    <w:sig w:usb0="00000001" w:usb1="080E0000" w:usb2="00000000" w:usb3="00000000" w:csb0="00040000" w:csb1="00000000"/>
    <w:embedRegular r:id="rId3" w:fontKey="{8402ECA3-9D10-43BA-A845-636D5DF2812D}"/>
  </w:font>
  <w:font w:name="楷体_GB2312">
    <w:panose1 w:val="02010609030101010101"/>
    <w:charset w:val="86"/>
    <w:family w:val="modern"/>
    <w:pitch w:val="default"/>
    <w:sig w:usb0="00000001" w:usb1="080E0000" w:usb2="00000000" w:usb3="00000000" w:csb0="00040000" w:csb1="00000000"/>
    <w:embedRegular r:id="rId4" w:fontKey="{27046CCD-04D3-4D14-A5D9-844EDA5BCA69}"/>
  </w:font>
  <w:font w:name="仿宋_GB2312">
    <w:panose1 w:val="02010609030101010101"/>
    <w:charset w:val="86"/>
    <w:family w:val="modern"/>
    <w:pitch w:val="default"/>
    <w:sig w:usb0="00000001" w:usb1="080E0000" w:usb2="00000000" w:usb3="00000000" w:csb0="00040000" w:csb1="00000000"/>
    <w:embedRegular r:id="rId5" w:fontKey="{368E373B-811D-4D38-AFD0-4DAE6C33DBA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266946"/>
    <w:multiLevelType w:val="singleLevel"/>
    <w:tmpl w:val="FD26694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wYjIzNmRiNTVkYTFkZDBmNThmNGQ5ZGM1ZTkyMzcifQ=="/>
  </w:docVars>
  <w:rsids>
    <w:rsidRoot w:val="00F26885"/>
    <w:rsid w:val="003C5D6B"/>
    <w:rsid w:val="00B00022"/>
    <w:rsid w:val="00F01134"/>
    <w:rsid w:val="00F26885"/>
    <w:rsid w:val="14614A9C"/>
    <w:rsid w:val="30F61C9A"/>
    <w:rsid w:val="4F437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kern w:val="0"/>
      <w:sz w:val="21"/>
      <w:szCs w:val="22"/>
      <w:lang w:val="en-US" w:eastAsia="zh-CN" w:bidi="ar-SA"/>
    </w:rPr>
  </w:style>
  <w:style w:type="paragraph" w:styleId="2">
    <w:name w:val="heading 2"/>
    <w:basedOn w:val="1"/>
    <w:next w:val="3"/>
    <w:link w:val="1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ind w:firstLine="880" w:firstLineChars="200"/>
    </w:pPr>
  </w:style>
  <w:style w:type="paragraph" w:styleId="4">
    <w:name w:val="Body Text"/>
    <w:basedOn w:val="1"/>
    <w:link w:val="13"/>
    <w:semiHidden/>
    <w:unhideWhenUsed/>
    <w:uiPriority w:val="99"/>
    <w:pPr>
      <w:spacing w:after="120"/>
    </w:pPr>
  </w:style>
  <w:style w:type="paragraph" w:styleId="5">
    <w:name w:val="footer"/>
    <w:basedOn w:val="1"/>
    <w:link w:val="12"/>
    <w:unhideWhenUsed/>
    <w:qFormat/>
    <w:uiPriority w:val="99"/>
    <w:pPr>
      <w:widowControl w:val="0"/>
      <w:tabs>
        <w:tab w:val="center" w:pos="4153"/>
        <w:tab w:val="right" w:pos="8306"/>
      </w:tabs>
      <w:snapToGrid w:val="0"/>
    </w:pPr>
    <w:rPr>
      <w:kern w:val="2"/>
      <w:sz w:val="18"/>
      <w:szCs w:val="18"/>
    </w:rPr>
  </w:style>
  <w:style w:type="paragraph" w:styleId="6">
    <w:name w:val="header"/>
    <w:basedOn w:val="1"/>
    <w:link w:val="11"/>
    <w:unhideWhenUsed/>
    <w:qFormat/>
    <w:uiPriority w:val="99"/>
    <w:pPr>
      <w:widowControl w:val="0"/>
      <w:pBdr>
        <w:bottom w:val="single" w:color="auto" w:sz="6" w:space="1"/>
      </w:pBdr>
      <w:tabs>
        <w:tab w:val="center" w:pos="4153"/>
        <w:tab w:val="right" w:pos="8306"/>
      </w:tabs>
      <w:snapToGrid w:val="0"/>
      <w:jc w:val="center"/>
    </w:pPr>
    <w:rPr>
      <w:kern w:val="2"/>
      <w:sz w:val="18"/>
      <w:szCs w:val="18"/>
    </w:rPr>
  </w:style>
  <w:style w:type="paragraph" w:styleId="7">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8">
    <w:name w:val="Body Text First Indent"/>
    <w:basedOn w:val="4"/>
    <w:link w:val="14"/>
    <w:autoRedefine/>
    <w:unhideWhenUsed/>
    <w:qFormat/>
    <w:uiPriority w:val="99"/>
    <w:pPr>
      <w:spacing w:after="0" w:line="360" w:lineRule="auto"/>
      <w:ind w:firstLine="420" w:firstLineChars="100"/>
    </w:pPr>
    <w:rPr>
      <w:rFonts w:hint="eastAsia" w:ascii="Arial Unicode MS" w:hAnsi="Arial Unicode MS" w:eastAsia="Times New Roman" w:cs="Arial Unicode MS"/>
      <w:color w:val="000000"/>
      <w:sz w:val="32"/>
      <w:szCs w:val="32"/>
    </w:rPr>
  </w:style>
  <w:style w:type="character" w:customStyle="1" w:styleId="11">
    <w:name w:val="页眉 字符"/>
    <w:basedOn w:val="10"/>
    <w:link w:val="6"/>
    <w:qFormat/>
    <w:uiPriority w:val="99"/>
    <w:rPr>
      <w:sz w:val="18"/>
      <w:szCs w:val="18"/>
    </w:rPr>
  </w:style>
  <w:style w:type="character" w:customStyle="1" w:styleId="12">
    <w:name w:val="页脚 字符"/>
    <w:basedOn w:val="10"/>
    <w:link w:val="5"/>
    <w:uiPriority w:val="99"/>
    <w:rPr>
      <w:sz w:val="18"/>
      <w:szCs w:val="18"/>
    </w:rPr>
  </w:style>
  <w:style w:type="character" w:customStyle="1" w:styleId="13">
    <w:name w:val="正文文本 字符"/>
    <w:basedOn w:val="10"/>
    <w:link w:val="4"/>
    <w:semiHidden/>
    <w:qFormat/>
    <w:uiPriority w:val="99"/>
    <w:rPr>
      <w:kern w:val="0"/>
    </w:rPr>
  </w:style>
  <w:style w:type="character" w:customStyle="1" w:styleId="14">
    <w:name w:val="正文首行缩进 字符"/>
    <w:basedOn w:val="13"/>
    <w:link w:val="8"/>
    <w:qFormat/>
    <w:uiPriority w:val="99"/>
    <w:rPr>
      <w:rFonts w:ascii="Arial Unicode MS" w:hAnsi="Arial Unicode MS" w:eastAsia="Times New Roman" w:cs="Arial Unicode MS"/>
      <w:color w:val="000000"/>
      <w:kern w:val="0"/>
      <w:sz w:val="32"/>
      <w:szCs w:val="32"/>
    </w:rPr>
  </w:style>
  <w:style w:type="character" w:customStyle="1" w:styleId="15">
    <w:name w:val="标题 2 字符"/>
    <w:basedOn w:val="10"/>
    <w:link w:val="2"/>
    <w:semiHidden/>
    <w:uiPriority w:val="9"/>
    <w:rPr>
      <w:rFonts w:asciiTheme="majorHAnsi" w:hAnsiTheme="majorHAnsi" w:eastAsiaTheme="majorEastAsia" w:cstheme="majorBidi"/>
      <w:b/>
      <w:bC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1873</Words>
  <Characters>2006</Characters>
  <Lines>13</Lines>
  <Paragraphs>3</Paragraphs>
  <TotalTime>0</TotalTime>
  <ScaleCrop>false</ScaleCrop>
  <LinksUpToDate>false</LinksUpToDate>
  <CharactersWithSpaces>2006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2024-09-12T07:20:00Z</dcterms:created>
  <dc:creator>PC</dc:creator>
  <cp:lastModifiedBy>cff</cp:lastModifiedBy>
  <dcterms:modified xsi:type="dcterms:W3CDTF">2024-09-14T08:53:37Z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E0957645AD684D9FB726B9EE1DB93B65_13</vt:lpwstr>
  </property>
</Properties>
</file>