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2021年工作总结和2022年工作计划</w:t>
      </w:r>
    </w:p>
    <w:p>
      <w:pPr>
        <w:spacing w:line="560" w:lineRule="exact"/>
        <w:jc w:val="center"/>
        <w:rPr>
          <w:rFonts w:hint="eastAsia"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西塞山区财政局</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（2021年12月23日）</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以来，西塞山区财政局在区委区政府的坚强领导下，坚持稳中求进工作总基调，深入推进党史学习教育，以思想破冰引领发展突围，全力以赴稳增长，夯基谋远调结构，统筹疫情防控和经济社会发展，力争实现“开局漂亮、全年精彩”目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一、2021年财政收支情况</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（一）财政收入方面。</w:t>
      </w:r>
      <w:r>
        <w:rPr>
          <w:rFonts w:hint="eastAsia" w:ascii="仿宋_GB2312" w:hAnsi="仿宋_GB2312" w:eastAsia="仿宋_GB2312" w:cs="仿宋_GB2312"/>
          <w:sz w:val="32"/>
          <w:szCs w:val="32"/>
        </w:rPr>
        <w:t>2021年全区财政总收入完成126943万元，同比增长32.03%；全区一般公共预算收入完成67647万元，同比增长28.04%。</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（二）财政支出方面。</w:t>
      </w:r>
      <w:r>
        <w:rPr>
          <w:rFonts w:hint="eastAsia" w:ascii="仿宋_GB2312" w:hAnsi="仿宋_GB2312" w:eastAsia="仿宋_GB2312" w:cs="仿宋_GB2312"/>
          <w:sz w:val="32"/>
          <w:szCs w:val="32"/>
        </w:rPr>
        <w:t>2021年全区公共预算支出完成98896万元，可比增长3.62%。</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二、2021年工作完成情况</w:t>
      </w:r>
    </w:p>
    <w:p>
      <w:pPr>
        <w:numPr>
          <w:ilvl w:val="0"/>
          <w:numId w:val="1"/>
        </w:num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持续抓好收入，实现全年目标。</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税务及财政部门将一手保税收基数，一手抓税收增量，全面落实税费优惠政策。</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靶向发力，落实援企稳岗。加大援企稳岗支持力度，1-12月份安排产业引导金6000万元，加快对符合条件的中小企业产业引导金兑现进度，“放水养鱼”涵养财源发挥产业引导金撬动作用，培育总部经济和落户企业做大做强，认真做好重点财源监测征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重点发挥各街道经济部门作用，夯实税源基础。今年下达每街道每年引入2家年税收200万元以上总部经济企业的考核目标，以2020年度各街道辖区内20万元至200万元纳税企业为税源基数，激励街道办事处培植税源，提升街道服务企业水平。</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（二）有保有压，优化支出结构。</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优化支出结构，集中财力保障教育、社会保障和就业、医疗卫生等民生支出和维护社会政治安定和治安大局稳定的综合治理支出。1-12月份，全区用于民生及社会事业发展支出31434万元，其中：用于农村义务教育保障、薄弱学校改造、教师工资等方面的支出22535万元；用于城乡困难群众救助、高龄津贴、残疾人两补5043万元；用于优抚对象、参战参试及军转干人员补助401万元；用于基本公卫、基本药物、医疗救助、计划生育补助3455万。新增安排重病支出35万元。同时，投入大量资金用于维护社会稳定，解决了大量历史遗留问题。</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强化增收节支意识，从严控制一般性开支。1-12月份累计支出280.02万元，按可比口径，较去年同期减少21.92万元，下降12.83%。</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完善流程监管，确保资金直达高效。完善体制机制，建立从分配资金，到明确专人一对一落实，最后形成支出及时录入监控平台，全流程跟踪管理，确保直达资金支出直达高效。截至12月底，我区共收到直达资金13783.9万元，已全部分配到预算单位，形成实际支出13388.12万元，支出进度达到97.1%。</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抓好绩效评价，对重点项目跟踪重点评价，进一步提高资金使用效益。委托第三方对我区2020年抗疫特别国债、新开行贷款等专项资金9777万元进行绩效评价，为提高财政专项资金使用效益提供了依据。</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（三）加强预算管理，推进预算管理一体化改革。</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成立专班，部署安排一体化系统上线。成立由局一把手为组长的领导小组，全局所有业务骨干纳入工作专班，从工作总协调、技术保障等方面保障专班运行，确保该项工作扎实快速推进。二是加强培训，提升业务水平。按照省市关于预算一体化系统上线的统一部署，我区作为第三批次地区于7月底至9月上线预算编制和预算执行两大模块。为确保新系统顺利上线，采用线上直播和线下集训相结合的模式，多渠道全方位深层次地为预算单位提供业务指导和技术保障，效果显著。</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稳步推进，科学编制2022年预算。</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两大模块均已成功上线，预算执行模块自8月以来有效运行，预算编制模块也顺利推进，按要求完成10月份财政部2022年预算编制考核任务。下一步，我区将进一步按照省市要求，严控时间节点，把握工作节奏，完成2022年预算编制“两上两下”工作，确保2022年预算编制顺利推进。</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（四）强化监督，严肃财经纪律管理。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开展违反财经制度、“巡察整改回头看”、惠民惠农“一卡通”、村（社区）三资提级监督、会计评估监督以及省级转移支付资金重点项目监督检查等多个专项检查，严肃财经纪律。</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推进预决算公开。区直50个部门预决算和“三公”经费预决算，公开率达100%，预决算公开真实性、完整性、规范性明显提升。</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推进财政评审工作。截至目前审结政府投资工程预算、概算项目共111个，送审总金额47015万元，审减额2064万元，审减率4.4%，严格把牢项目审核关口。</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科室联动，加强资金监管。通过非税收入征管系统和国库集中收付3.0系统实时监控的信息，对违规行为发布通报，严肃财经纪律。</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（五）加快债券发行，加强政府债务管理。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抢抓疫后重振“十大工程”建设的重大机遇，紧紧围绕我区重点项目，积极争取债券资金。1-12月份，我区新增政府债券资金20472万元，其中新增一般债券9272万元，新增专项债券11200万元，债券资金有效助力我区基础设施建设，进一步缓解财政资金压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超前谋划，围绕2022年债券资金投资方向，建立专项债券储备项目库。</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已储备项目23个，为明年的专项债券发行工作打牢基础。</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严控隐性债务风险，确保隐性债务只减不增。通过督促平台公司转型，增强自身造血功能，进一步落实偿还责任。</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，省定债务风险等级为最优的绿色等级。</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（六）延续工作劲头，一以贯之抓争取。</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研究政策积极对接，切实吃透“上情”。准确理解上级文件精神，紧紧围绕国家重点支持领域和方向，精准施策。区主要领导多次带队到市财政局协调调拨资金，1-12月份已争取上级资金近146635.83万元，其中老旧小区专项资金18020.18万元，两路一改和二三级污水管网资金2973万元，保障了区级重点建设项目顺利进行。</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细化要求，准确把握“下情”。根据年初下达任务目标，及时细化分解到单位，实现对上争取目标明确，责有人担。建立月例会和部门沟通机制，及时研究解决争取过程中遇到问题。</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（七）多措并举，优化营商环境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理顺工作机制，健全制度体系。落实“谁采购、谁负责”的原则，督促预算单位健全本单位政府采购内控制度。截止2021年12月底，全区累计完成政府采购备案466个项目。累计采购预算金额31991万，累计实际采购金额29574万，节约采购资金2417万，节约率8%。</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标对表开展工作，优化政府采购营商环境。根据《湖北省政府集中采购目录及标准（2021年版）》和《市直机关2021年政府集中采购目录实施方案》内容制定新的政府采购和招标投标操作流程，规范操作流程。2021年1月1日我区推行政府采购意向公开工作，获得市级部门高度肯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扎实推进业务培训学习，集中对全区部门进行政府采购政策专题培训9次260余人，对区重要采购部门进行上门培训，增强采购单位的责任主体意识、风险防控意识，有效防范重点环节风险。</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（八）完善管理，持续推进国企改革。</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循序渐进，推动国企退休人员社会化管理常态化工作。督促街道、社区（村）在黄石市国有企业退休人员社会化管理移交工作平台中核实人员信息并确认接收，确保退休职工平稳过渡。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应对疫情影响，落实房屋租金减免政策。根据区优化营商办印发的相关减免文件要求，对承租各类国有资产类经营用房的中小微企业和个体工商户，实行了2021年月租金减免应不少于20%的政策。截止12月底，全区可减免共计48户，减免金额共计77.97万元，帮助支持中小微企业和个体工商户积极应对疫情影响，维护政治社会大局稳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进一步完善国有资产管理，掌握全区各部门单位的国有资产状况，依据各单位资产配置入账和资产处置入账情况，督促各单位及时更新数据，确保数据准确性。</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（九）思想破冰引领发展，全力打造财政铁军队伍。</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以思想武装为抓手，强化意识形态工作，开展党史学习教育工作。通过集中学习、交流研讨、现场参观学习等多种形式深入学习，将党史中的宝贵营养转化为党员干部的政治素养。1-12月份组织党员干部讲党课7次，党史学习教育集中学习15次，交流研讨8次，开展外出参观红色旧址、纪念革命先烈活动3次，开展党史教育自学20余人次，自学学时约80小时。</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以正党风肃党纪为切口，加强廉政建设工作。结合财政工作实际，严格落实以民主集中制为核心的党内组织生活制度。与干部职工签订《个人廉政承诺书》。9月，我局开展党风廉政宣教月活动，对党员干部开展理想信念教育、作风纪律教育、廉洁自律教育，进一步增强党员干部的党性观念和纪律意识，强化廉政风险意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以队伍建设为基本、按标准开展党员发展工作。局党支部认真贯彻党员发展工作的十六字方针，积极稳妥的做好党员发展工作。本年度吸收入党积极分子2名，按期转正党员1名。</w:t>
      </w:r>
    </w:p>
    <w:p>
      <w:pPr>
        <w:pStyle w:val="2"/>
        <w:spacing w:line="560" w:lineRule="exact"/>
        <w:ind w:left="0" w:leftChars="0" w:firstLine="640"/>
        <w:rPr>
          <w:rFonts w:ascii="黑体" w:hAnsi="黑体" w:eastAsia="黑体" w:cs="黑体"/>
          <w:sz w:val="32"/>
          <w:szCs w:val="32"/>
        </w:rPr>
      </w:pPr>
      <w:r>
        <w:rPr>
          <w:rFonts w:hint="eastAsia" w:ascii="黑体" w:hAnsi="黑体" w:eastAsia="黑体" w:cs="黑体"/>
          <w:sz w:val="32"/>
          <w:szCs w:val="32"/>
        </w:rPr>
        <w:t>三、2021年获得荣誉情况</w:t>
      </w:r>
    </w:p>
    <w:p>
      <w:pPr>
        <w:pStyle w:val="2"/>
        <w:numPr>
          <w:ilvl w:val="0"/>
          <w:numId w:val="2"/>
        </w:numPr>
        <w:spacing w:line="560" w:lineRule="exact"/>
        <w:ind w:left="0" w:leftChars="0"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省级荣誉</w:t>
      </w:r>
    </w:p>
    <w:p>
      <w:pPr>
        <w:pStyle w:val="2"/>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1.2021年1月，省财政厅关于预算执行分析工作情况、财政总决算工作情况的通报表扬（鄂财办库【2021】1号）；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2.2021年1月，2020年度直达资金管理工作先进单位、预算信息公开工作先进单位（鄂财预发【2021】1号）；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3.2021年10月，陆海燕同志被评为全省社会消防工作先进工作者。</w:t>
      </w:r>
    </w:p>
    <w:p>
      <w:pPr>
        <w:pStyle w:val="2"/>
        <w:numPr>
          <w:ilvl w:val="0"/>
          <w:numId w:val="2"/>
        </w:numPr>
        <w:spacing w:line="560" w:lineRule="exact"/>
        <w:ind w:left="0" w:leftChars="0"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市级荣誉</w:t>
      </w:r>
    </w:p>
    <w:p>
      <w:pPr>
        <w:pStyle w:val="2"/>
        <w:spacing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1.2021年6月，西塞山区财政局被评为全市先进基层党组织。</w:t>
      </w:r>
    </w:p>
    <w:p>
      <w:pPr>
        <w:pStyle w:val="2"/>
        <w:spacing w:line="560" w:lineRule="exact"/>
        <w:ind w:firstLine="321" w:firstLineChars="100"/>
        <w:rPr>
          <w:rFonts w:ascii="黑体" w:hAnsi="黑体" w:eastAsia="黑体" w:cs="黑体"/>
          <w:sz w:val="32"/>
          <w:szCs w:val="32"/>
        </w:rPr>
      </w:pPr>
      <w:r>
        <w:rPr>
          <w:rFonts w:hint="eastAsia" w:ascii="楷体_GB2312" w:hAnsi="楷体_GB2312" w:eastAsia="楷体_GB2312" w:cs="楷体_GB2312"/>
          <w:b/>
          <w:bCs/>
          <w:sz w:val="32"/>
          <w:szCs w:val="32"/>
        </w:rPr>
        <w:t>（三）区级荣誉</w:t>
      </w:r>
    </w:p>
    <w:p>
      <w:pPr>
        <w:pStyle w:val="2"/>
        <w:spacing w:line="560" w:lineRule="exact"/>
        <w:ind w:left="0" w:leftChars="0" w:firstLine="640"/>
        <w:rPr>
          <w:rFonts w:ascii="黑体" w:hAnsi="黑体" w:eastAsia="黑体" w:cs="黑体"/>
          <w:sz w:val="32"/>
          <w:szCs w:val="32"/>
        </w:rPr>
      </w:pPr>
      <w:r>
        <w:rPr>
          <w:rFonts w:hint="eastAsia" w:ascii="仿宋_GB2312" w:hAnsi="仿宋_GB2312" w:eastAsia="仿宋_GB2312" w:cs="仿宋_GB2312"/>
          <w:sz w:val="32"/>
          <w:szCs w:val="32"/>
        </w:rPr>
        <w:t>1.2020年12月29日，西塞山区政府在推进临港产业园区6、7、8号地块出让工作中通报表扬；</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2.2021年2月，西塞山区财政局被评为2020年度西塞山区“双百双千双胜利”工作先进单位（西文【2021】8号）。</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 xml:space="preserve">    四、2022年工作计划</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（一）落实减税降费，抓好财政收入。</w:t>
      </w:r>
      <w:r>
        <w:rPr>
          <w:rFonts w:hint="eastAsia" w:ascii="仿宋_GB2312" w:hAnsi="仿宋_GB2312" w:eastAsia="仿宋_GB2312" w:cs="仿宋_GB2312"/>
          <w:sz w:val="32"/>
          <w:szCs w:val="32"/>
        </w:rPr>
        <w:t>一是力保税收基数，强化财税部门间协调沟通，密切跟踪税源大户，守住税收底数，培植新增税源，为实现地方财政收入目标夯实基础。二是继续突出土地收入征管，加快土地挂牌出让，激活土地市场活力，提高土地挂牌出让、土地出让金缴库等环节的效率。三是继续鼓励镇街增强服务辖区企业意识，培植镇街经济做大做强，为全区经济发展夯实基础。</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（二）优化支出结构，</w:t>
      </w:r>
      <w:r>
        <w:rPr>
          <w:rFonts w:hint="eastAsia" w:ascii="楷体_GB2312" w:hAnsi="楷体_GB2312" w:eastAsia="楷体_GB2312" w:cs="楷体_GB2312"/>
          <w:b/>
          <w:bCs/>
          <w:sz w:val="32"/>
          <w:szCs w:val="32"/>
          <w:lang w:eastAsia="zh-CN"/>
        </w:rPr>
        <w:t>保障和改善民生</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一是保障服务民生。坚持量入为出、有保有压的原则，着力保障行政运转，以改善民生、服务发展为工作重点、牢固树立过紧日子思想，压实职责任务，兜牢“三保”底线，落实厉行节约措施，严禁攀比铺张，强化预算刚性约束。二是按照“扩大范围、完善机制、严格监管、强化支撑”的原则，完善财政资金直达机制，推动实现财政民生补助资金高效直达。</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（三）推进预算绩效管理提质增效。</w:t>
      </w:r>
      <w:r>
        <w:rPr>
          <w:rFonts w:hint="eastAsia" w:ascii="仿宋_GB2312" w:hAnsi="仿宋_GB2312" w:eastAsia="仿宋_GB2312" w:cs="仿宋_GB2312"/>
          <w:sz w:val="32"/>
          <w:szCs w:val="32"/>
        </w:rPr>
        <w:t>完善支出标准体系，加强项目支出管理，建立健全项目入库评审机制和项目滚动管理机制，继续推进预算一体化系统建设和实施。推动预算绩效管理覆盖所有财政资金，加强财政资金使用绩效评价，发挥预算绩效管理引导作用。</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（四）加强政府债券资金管理使用。</w:t>
      </w:r>
      <w:r>
        <w:rPr>
          <w:rFonts w:hint="eastAsia" w:ascii="仿宋_GB2312" w:hAnsi="仿宋_GB2312" w:eastAsia="仿宋_GB2312" w:cs="仿宋_GB2312"/>
          <w:sz w:val="32"/>
          <w:szCs w:val="32"/>
        </w:rPr>
        <w:t>一是做好项目库建设。督导各个部门结合在建、续建项目，抢抓政策机遇，根据年度考核计划，强化向上争资频率。二是完善政府债务常态化监测，加强调研分析和数据预判，防控债务风险和金融风险发生。</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（五）强化监督职责，提升资金效益。</w:t>
      </w:r>
      <w:r>
        <w:rPr>
          <w:rFonts w:hint="eastAsia" w:ascii="仿宋_GB2312" w:hAnsi="仿宋_GB2312" w:eastAsia="仿宋_GB2312" w:cs="仿宋_GB2312"/>
          <w:sz w:val="32"/>
          <w:szCs w:val="32"/>
        </w:rPr>
        <w:t>一是加强配合，推动巡察整改。支持区纪（监）委工作，按照区委巡察办交办的问题线索，在被巡察单位开展巡察问题整改，确保巡察发现的各项问题全部整改落实到位，督促被巡察单位完善相关制度，建立健全长效机制。二是部门联动，实现监督覆盖。调动各科室的积极性，在开展部门预决算公开、预算资金绩效评价、非税收入监督检查等各项活动中，查找各种违规问题线索，与财政监督部门联合行动，增加震慑力和处置力度，共同打击违规违纪行为。</w:t>
      </w:r>
    </w:p>
    <w:p>
      <w:pPr>
        <w:spacing w:line="560" w:lineRule="exact"/>
        <w:ind w:firstLine="643" w:firstLineChars="200"/>
        <w:rPr>
          <w:rFonts w:ascii="仿宋_GB2312" w:hAnsi="仿宋_GB2312" w:eastAsia="仿宋_GB2312" w:cs="仿宋_GB2312"/>
          <w:sz w:val="32"/>
          <w:szCs w:val="32"/>
          <w:shd w:val="clear" w:color="050000" w:fill="auto"/>
        </w:rPr>
      </w:pPr>
      <w:r>
        <w:rPr>
          <w:rFonts w:hint="eastAsia" w:ascii="楷体_GB2312" w:hAnsi="楷体_GB2312" w:eastAsia="楷体_GB2312" w:cs="楷体_GB2312"/>
          <w:b/>
          <w:bCs/>
          <w:sz w:val="32"/>
          <w:szCs w:val="32"/>
          <w:shd w:val="clear" w:color="050000" w:fill="auto"/>
        </w:rPr>
        <w:t>（六）助推发展，优化营商环境。</w:t>
      </w:r>
      <w:r>
        <w:rPr>
          <w:rFonts w:hint="eastAsia" w:ascii="仿宋_GB2312" w:hAnsi="仿宋_GB2312" w:eastAsia="仿宋_GB2312" w:cs="仿宋_GB2312"/>
          <w:sz w:val="32"/>
          <w:szCs w:val="32"/>
          <w:shd w:val="clear" w:color="050000" w:fill="auto"/>
        </w:rPr>
        <w:t>一是政策研判，推动企业转型。加强政策调研及研判，继续落实国家</w:t>
      </w:r>
      <w:r>
        <w:rPr>
          <w:rFonts w:hint="eastAsia" w:ascii="仿宋_GB2312" w:hAnsi="仿宋_GB2312" w:eastAsia="仿宋_GB2312" w:cs="仿宋_GB2312"/>
          <w:sz w:val="32"/>
          <w:szCs w:val="32"/>
          <w:shd w:val="clear" w:color="050000" w:fill="auto"/>
          <w:lang w:eastAsia="zh-CN"/>
        </w:rPr>
        <w:t>减税降费</w:t>
      </w:r>
      <w:r>
        <w:rPr>
          <w:rFonts w:hint="eastAsia" w:ascii="仿宋_GB2312" w:hAnsi="仿宋_GB2312" w:eastAsia="仿宋_GB2312" w:cs="仿宋_GB2312"/>
          <w:sz w:val="32"/>
          <w:szCs w:val="32"/>
          <w:shd w:val="clear" w:color="050000" w:fill="auto"/>
        </w:rPr>
        <w:t>政策，落实</w:t>
      </w:r>
      <w:r>
        <w:rPr>
          <w:rFonts w:hint="eastAsia" w:ascii="仿宋_GB2312" w:hAnsi="仿宋_GB2312" w:eastAsia="仿宋_GB2312" w:cs="仿宋_GB2312"/>
          <w:sz w:val="32"/>
          <w:szCs w:val="32"/>
          <w:shd w:val="clear" w:color="050000" w:fill="auto"/>
          <w:lang w:eastAsia="zh-CN"/>
        </w:rPr>
        <w:t>“放管服”改革</w:t>
      </w:r>
      <w:r>
        <w:rPr>
          <w:rFonts w:hint="eastAsia" w:ascii="仿宋_GB2312" w:hAnsi="仿宋_GB2312" w:eastAsia="仿宋_GB2312" w:cs="仿宋_GB2312"/>
          <w:sz w:val="32"/>
          <w:szCs w:val="32"/>
          <w:shd w:val="clear" w:color="050000" w:fill="auto"/>
        </w:rPr>
        <w:t>措施，服务企业转型升级。二是多方合作，促进企业发展。通过财政资金引导，深化政企银三方合作，增大中小企业融资规模，规范资金运作，全力支持中小企业发展。三是招商引资，服务总部经济。继续加大招商引资工作力度，做好总部经济项目服务工作，切实为我区经济发展创造有利条件。</w:t>
      </w:r>
    </w:p>
    <w:p>
      <w:pPr>
        <w:pStyle w:val="2"/>
        <w:spacing w:line="540" w:lineRule="exact"/>
        <w:ind w:left="0" w:leftChars="0" w:firstLine="643"/>
      </w:pPr>
      <w:r>
        <w:rPr>
          <w:rFonts w:hint="eastAsia" w:ascii="楷体_GB2312" w:hAnsi="楷体_GB2312" w:eastAsia="楷体_GB2312" w:cs="楷体_GB2312"/>
          <w:b/>
          <w:bCs/>
          <w:sz w:val="32"/>
          <w:szCs w:val="32"/>
        </w:rPr>
        <w:t>（七）推进国有资产管理，依法开展监督。</w:t>
      </w:r>
      <w:r>
        <w:rPr>
          <w:rFonts w:hint="eastAsia" w:ascii="仿宋_GB2312" w:hAnsi="仿宋_GB2312" w:eastAsia="仿宋_GB2312" w:cs="仿宋_GB2312"/>
          <w:b/>
          <w:bCs/>
          <w:sz w:val="32"/>
          <w:szCs w:val="32"/>
        </w:rPr>
        <w:t>一是</w:t>
      </w:r>
      <w:r>
        <w:rPr>
          <w:rFonts w:hint="eastAsia" w:ascii="仿宋_GB2312" w:eastAsia="仿宋_GB2312"/>
          <w:sz w:val="32"/>
          <w:szCs w:val="32"/>
        </w:rPr>
        <w:t>启动资产清查工作，督促各部门单位摸清“家底”，合理配置和使用资产，做到</w:t>
      </w:r>
      <w:r>
        <w:rPr>
          <w:rFonts w:hint="eastAsia" w:ascii="仿宋_GB2312" w:hAnsi="Times New Roman" w:eastAsia="仿宋_GB2312"/>
          <w:sz w:val="32"/>
          <w:szCs w:val="32"/>
        </w:rPr>
        <w:t>物尽其用</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加强资产监管力度，督促平台公司做到国有资产保值增值、杜绝国有资产流失。</w:t>
      </w:r>
    </w:p>
    <w:p>
      <w:pPr>
        <w:pStyle w:val="4"/>
        <w:spacing w:line="540" w:lineRule="exact"/>
        <w:ind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（八）加强党建引领，助推自身建设。</w:t>
      </w:r>
      <w:r>
        <w:rPr>
          <w:rFonts w:hint="eastAsia" w:ascii="仿宋_GB2312" w:hAnsi="仿宋_GB2312" w:eastAsia="仿宋_GB2312" w:cs="仿宋_GB2312"/>
          <w:sz w:val="32"/>
          <w:szCs w:val="32"/>
        </w:rPr>
        <w:t>一是增强学习的自觉性。知行合一，狠抓意识形态，找准学习与工作的结合点，坚持领导班子带头学习，积极开展辅导授课、座谈研讨等活动。同时积极学习与财政工作相关的业务知识，做到既提高政治敏锐性、政治鉴别力，又提升知识层次和能力水平。二是深化党风廉政建设，纵深推进全面从严治党。抓严抓实管党治党主体责任，确保上级的工作部署和要求得到有效落实。对突出问题和薄弱环节，强化问题导向，勇于刀刃向内，有针对性地补齐制度短板、堵塞风险漏洞、确保标本兼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4D535"/>
    <w:multiLevelType w:val="singleLevel"/>
    <w:tmpl w:val="A7E4D535"/>
    <w:lvl w:ilvl="0" w:tentative="0">
      <w:start w:val="1"/>
      <w:numFmt w:val="chineseCounting"/>
      <w:suff w:val="nothing"/>
      <w:lvlText w:val="（%1）"/>
      <w:lvlJc w:val="left"/>
      <w:rPr>
        <w:rFonts w:hint="eastAsia"/>
      </w:rPr>
    </w:lvl>
  </w:abstractNum>
  <w:abstractNum w:abstractNumId="1">
    <w:nsid w:val="4164A38C"/>
    <w:multiLevelType w:val="singleLevel"/>
    <w:tmpl w:val="4164A38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60EF0"/>
    <w:rsid w:val="000F6298"/>
    <w:rsid w:val="00381948"/>
    <w:rsid w:val="0089274C"/>
    <w:rsid w:val="009B4398"/>
    <w:rsid w:val="00BE07FF"/>
    <w:rsid w:val="00CB3A28"/>
    <w:rsid w:val="01E33AE0"/>
    <w:rsid w:val="038C1A55"/>
    <w:rsid w:val="04BC7EB6"/>
    <w:rsid w:val="0ADF4B86"/>
    <w:rsid w:val="0EA51378"/>
    <w:rsid w:val="1B655871"/>
    <w:rsid w:val="250D58DE"/>
    <w:rsid w:val="2DB43FA1"/>
    <w:rsid w:val="2E960EF0"/>
    <w:rsid w:val="3882570B"/>
    <w:rsid w:val="3F124495"/>
    <w:rsid w:val="3F77163B"/>
    <w:rsid w:val="42A47944"/>
    <w:rsid w:val="42AC2715"/>
    <w:rsid w:val="46E65C78"/>
    <w:rsid w:val="4F854C0E"/>
    <w:rsid w:val="52D1259C"/>
    <w:rsid w:val="55D34F39"/>
    <w:rsid w:val="5B2F55E4"/>
    <w:rsid w:val="5BCC7F9A"/>
    <w:rsid w:val="692F778D"/>
    <w:rsid w:val="6AE3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after="120"/>
      <w:ind w:left="420" w:leftChars="200"/>
    </w:pPr>
    <w:rPr>
      <w:rFonts w:ascii="Calibri" w:hAnsi="Calibri" w:eastAsia="宋体" w:cs="Times New Roman"/>
    </w:rPr>
  </w:style>
  <w:style w:type="paragraph" w:styleId="4">
    <w:name w:val="Normal Indent"/>
    <w:basedOn w:val="1"/>
    <w:unhideWhenUsed/>
    <w:qFormat/>
    <w:uiPriority w:val="0"/>
    <w:pPr>
      <w:ind w:firstLine="880" w:firstLineChars="200"/>
    </w:pPr>
  </w:style>
  <w:style w:type="paragraph" w:styleId="5">
    <w:name w:val="Body Text Indent"/>
    <w:basedOn w:val="1"/>
    <w:qFormat/>
    <w:uiPriority w:val="0"/>
    <w:pPr>
      <w:ind w:firstLine="560" w:firstLineChars="2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ind w:firstLine="420"/>
    </w:p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F7A6A-680E-4C81-9022-4CF302021FFC}">
  <ds:schemaRefs/>
</ds:datastoreItem>
</file>

<file path=docProps/app.xml><?xml version="1.0" encoding="utf-8"?>
<Properties xmlns="http://schemas.openxmlformats.org/officeDocument/2006/extended-properties" xmlns:vt="http://schemas.openxmlformats.org/officeDocument/2006/docPropsVTypes">
  <Template>Normal</Template>
  <Company>市财政局</Company>
  <Pages>9</Pages>
  <Words>773</Words>
  <Characters>4407</Characters>
  <Lines>36</Lines>
  <Paragraphs>10</Paragraphs>
  <TotalTime>158</TotalTime>
  <ScaleCrop>false</ScaleCrop>
  <LinksUpToDate>false</LinksUpToDate>
  <CharactersWithSpaces>5170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2021-11-23T06:16:00Z</dcterms:created>
  <dc:creator>yd006</dc:creator>
  <cp:lastModifiedBy>yd001</cp:lastModifiedBy>
  <cp:lastPrinted>2021-11-25T01:05:00Z</cp:lastPrinted>
  <dcterms:modified xsi:type="dcterms:W3CDTF">2025-02-12T08:11:39Z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342A5847999A452DBB2D83FCA1B5119D</vt:lpwstr>
  </property>
</Properties>
</file>