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055" w:tblpY="1243"/>
        <w:tblOverlap w:val="never"/>
        <w:tblW w:w="106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04"/>
        <w:gridCol w:w="2671"/>
        <w:gridCol w:w="901"/>
        <w:gridCol w:w="2416"/>
        <w:gridCol w:w="690"/>
        <w:gridCol w:w="2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063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2022年重点项目支出绩效目标表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1063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（本表在项目库审核阶段报送）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8582" w:type="dxa"/>
            <w:gridSpan w:val="5"/>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申报单位(盖章）：</w:t>
            </w:r>
          </w:p>
        </w:tc>
        <w:tc>
          <w:tcPr>
            <w:tcW w:w="2053"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项目名称</w:t>
            </w:r>
          </w:p>
        </w:tc>
        <w:tc>
          <w:tcPr>
            <w:tcW w:w="8731" w:type="dxa"/>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r>
              <w:rPr>
                <w:rFonts w:hint="eastAsia" w:ascii="仿宋" w:hAnsi="仿宋" w:eastAsia="仿宋" w:cs="仿宋"/>
                <w:i w:val="0"/>
                <w:color w:val="000000"/>
                <w:sz w:val="20"/>
                <w:szCs w:val="20"/>
                <w:u w:val="none"/>
              </w:rPr>
              <w:t>维稳处突化解工作专项（含信息化建设、综合治理建设、扫黑除恶、执法监督、国家安全专项）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190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对应一级项目名称</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22"/>
                <w:szCs w:val="22"/>
                <w:u w:val="none"/>
              </w:rPr>
            </w:pPr>
            <w:r>
              <w:rPr>
                <w:rFonts w:hint="eastAsia" w:ascii="仿宋" w:hAnsi="仿宋" w:eastAsia="仿宋" w:cs="仿宋"/>
                <w:i w:val="0"/>
                <w:color w:val="000000"/>
                <w:sz w:val="20"/>
                <w:szCs w:val="20"/>
                <w:u w:val="none"/>
              </w:rPr>
              <w:t>维稳处突化解工作专项（含信息化建设、综合治理建设、扫黑除恶、执法监督、国家安全专项）</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一级部门名称</w:t>
            </w:r>
          </w:p>
        </w:tc>
        <w:tc>
          <w:tcPr>
            <w:tcW w:w="274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abs>
                <w:tab w:val="left" w:pos="764"/>
              </w:tabs>
              <w:jc w:val="left"/>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中共黄石市西塞山区委政法委员会</w:t>
            </w:r>
            <w:r>
              <w:rPr>
                <w:rFonts w:hint="eastAsia" w:ascii="仿宋" w:hAnsi="仿宋" w:eastAsia="仿宋" w:cs="仿宋"/>
                <w:i w:val="0"/>
                <w:color w:val="000000"/>
                <w:sz w:val="22"/>
                <w:szCs w:val="22"/>
                <w:u w:val="none"/>
                <w:lang w:eastAsia="zh-CN"/>
              </w:rPr>
              <w:tab/>
            </w:r>
            <w:r>
              <w:rPr>
                <w:rFonts w:hint="eastAsia" w:ascii="仿宋" w:hAnsi="仿宋" w:eastAsia="仿宋" w:cs="仿宋"/>
                <w:i w:val="0"/>
                <w:color w:val="000000"/>
                <w:sz w:val="22"/>
                <w:szCs w:val="22"/>
                <w:u w:val="none"/>
                <w:lang w:eastAsia="zh-CN"/>
              </w:rPr>
              <w:tab/>
            </w:r>
            <w:r>
              <w:rPr>
                <w:rFonts w:hint="eastAsia" w:ascii="仿宋" w:hAnsi="仿宋" w:eastAsia="仿宋" w:cs="仿宋"/>
                <w:i w:val="0"/>
                <w:color w:val="000000"/>
                <w:sz w:val="22"/>
                <w:szCs w:val="22"/>
                <w:u w:val="none"/>
                <w:lang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90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项目属性</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持续性项目☑</w:t>
            </w:r>
          </w:p>
        </w:tc>
        <w:tc>
          <w:tcPr>
            <w:tcW w:w="51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新增项目□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190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项目分类</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常年性项目☑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延续性项目□</w:t>
            </w:r>
          </w:p>
        </w:tc>
        <w:tc>
          <w:tcPr>
            <w:tcW w:w="2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一次性项目□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5" w:hRule="atLeast"/>
        </w:trPr>
        <w:tc>
          <w:tcPr>
            <w:tcW w:w="190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项目类别</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其他运转类☑</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特定目标类——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本级支出项目□</w:t>
            </w:r>
          </w:p>
        </w:tc>
        <w:tc>
          <w:tcPr>
            <w:tcW w:w="2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特定目标类——</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转移性支出项目□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项目总预算</w:t>
            </w:r>
          </w:p>
        </w:tc>
        <w:tc>
          <w:tcPr>
            <w:tcW w:w="357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368.00</w:t>
            </w:r>
          </w:p>
        </w:tc>
        <w:tc>
          <w:tcPr>
            <w:tcW w:w="2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项目当年预算</w:t>
            </w:r>
          </w:p>
        </w:tc>
        <w:tc>
          <w:tcPr>
            <w:tcW w:w="274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904"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项目资金来源</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资金总额</w:t>
            </w:r>
          </w:p>
        </w:tc>
        <w:tc>
          <w:tcPr>
            <w:tcW w:w="515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904"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公共预算财政拨款</w:t>
            </w:r>
          </w:p>
        </w:tc>
        <w:tc>
          <w:tcPr>
            <w:tcW w:w="515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1904"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政府性基金预算财政拨款</w:t>
            </w:r>
          </w:p>
        </w:tc>
        <w:tc>
          <w:tcPr>
            <w:tcW w:w="5159" w:type="dxa"/>
            <w:gridSpan w:val="3"/>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1904"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3572"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其他资金</w:t>
            </w:r>
          </w:p>
        </w:tc>
        <w:tc>
          <w:tcPr>
            <w:tcW w:w="5159" w:type="dxa"/>
            <w:gridSpan w:val="3"/>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904"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3572"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其中：使用上年度财政拨款结余</w:t>
            </w:r>
          </w:p>
        </w:tc>
        <w:tc>
          <w:tcPr>
            <w:tcW w:w="5159"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支出功能类科目</w:t>
            </w:r>
          </w:p>
        </w:tc>
        <w:tc>
          <w:tcPr>
            <w:tcW w:w="3572"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类：</w:t>
            </w:r>
          </w:p>
        </w:tc>
        <w:tc>
          <w:tcPr>
            <w:tcW w:w="241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款：</w:t>
            </w:r>
          </w:p>
        </w:tc>
        <w:tc>
          <w:tcPr>
            <w:tcW w:w="27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项目概况、内容及依据</w:t>
            </w:r>
          </w:p>
        </w:tc>
        <w:tc>
          <w:tcPr>
            <w:tcW w:w="87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用于维稳处突化解工作经费、信息化建设工作、综合治理建设工作、扫黑除恶工作、执法监督工作、国家安全工作经费</w:t>
            </w:r>
            <w:r>
              <w:rPr>
                <w:rFonts w:hint="eastAsia" w:ascii="仿宋" w:hAnsi="仿宋" w:eastAsia="仿宋" w:cs="仿宋"/>
                <w:i w:val="0"/>
                <w:color w:val="000000"/>
                <w:kern w:val="0"/>
                <w:sz w:val="22"/>
                <w:szCs w:val="22"/>
                <w:u w:val="none"/>
                <w:lang w:val="en-US" w:eastAsia="zh-CN" w:bidi="ar"/>
              </w:rPr>
              <w:tab/>
            </w:r>
            <w:r>
              <w:rPr>
                <w:rFonts w:hint="eastAsia" w:ascii="仿宋" w:hAnsi="仿宋" w:eastAsia="仿宋" w:cs="仿宋"/>
                <w:i w:val="0"/>
                <w:color w:val="000000"/>
                <w:kern w:val="0"/>
                <w:sz w:val="22"/>
                <w:szCs w:val="22"/>
                <w:u w:val="none"/>
                <w:lang w:val="en-US" w:eastAsia="zh-CN" w:bidi="ar"/>
              </w:rPr>
              <w:tab/>
            </w:r>
            <w:r>
              <w:rPr>
                <w:rFonts w:hint="eastAsia" w:ascii="仿宋" w:hAnsi="仿宋" w:eastAsia="仿宋" w:cs="仿宋"/>
                <w:i w:val="0"/>
                <w:color w:val="000000"/>
                <w:kern w:val="0"/>
                <w:sz w:val="22"/>
                <w:szCs w:val="22"/>
                <w:u w:val="none"/>
                <w:lang w:val="en-US" w:eastAsia="zh-CN" w:bidi="ar"/>
              </w:rPr>
              <w:tab/>
            </w:r>
            <w:r>
              <w:rPr>
                <w:rFonts w:hint="eastAsia" w:ascii="仿宋" w:hAnsi="仿宋" w:eastAsia="仿宋" w:cs="仿宋"/>
                <w:i w:val="0"/>
                <w:color w:val="000000"/>
                <w:kern w:val="0"/>
                <w:sz w:val="22"/>
                <w:szCs w:val="22"/>
                <w:u w:val="none"/>
                <w:lang w:val="en-US" w:eastAsia="zh-CN" w:bidi="ar"/>
              </w:rPr>
              <w:tab/>
            </w:r>
            <w:r>
              <w:rPr>
                <w:rFonts w:hint="eastAsia" w:ascii="仿宋" w:hAnsi="仿宋" w:eastAsia="仿宋" w:cs="仿宋"/>
                <w:i w:val="0"/>
                <w:color w:val="000000"/>
                <w:kern w:val="0"/>
                <w:sz w:val="22"/>
                <w:szCs w:val="22"/>
                <w:u w:val="none"/>
                <w:lang w:val="en-US" w:eastAsia="zh-CN" w:bidi="ar"/>
              </w:rPr>
              <w:tab/>
            </w:r>
            <w:r>
              <w:rPr>
                <w:rFonts w:hint="eastAsia" w:ascii="仿宋" w:hAnsi="仿宋" w:eastAsia="仿宋" w:cs="仿宋"/>
                <w:i w:val="0"/>
                <w:color w:val="000000"/>
                <w:kern w:val="0"/>
                <w:sz w:val="22"/>
                <w:szCs w:val="22"/>
                <w:u w:val="none"/>
                <w:lang w:val="en-US" w:eastAsia="zh-CN" w:bidi="ar"/>
              </w:rPr>
              <w:tab/>
            </w:r>
            <w:r>
              <w:rPr>
                <w:rFonts w:hint="eastAsia" w:ascii="仿宋" w:hAnsi="仿宋" w:eastAsia="仿宋" w:cs="仿宋"/>
                <w:i w:val="0"/>
                <w:color w:val="000000"/>
                <w:kern w:val="0"/>
                <w:sz w:val="22"/>
                <w:szCs w:val="22"/>
                <w:u w:val="none"/>
                <w:lang w:val="en-US" w:eastAsia="zh-CN" w:bidi="ar"/>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项目前两年预算安排、使用情况及当年预算变动情况</w:t>
            </w:r>
          </w:p>
        </w:tc>
        <w:tc>
          <w:tcPr>
            <w:tcW w:w="87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1405"/>
              </w:tabs>
              <w:jc w:val="both"/>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与前两年预算安排持平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项目支出明细预算</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项目支出明细</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1、敏感期间接访及重点人员困难救助等经费</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2、驻京专班人员工作经费</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3、综合治理</w:t>
            </w:r>
            <w:bookmarkStart w:id="0" w:name="_GoBack"/>
            <w:bookmarkEnd w:id="0"/>
            <w:r>
              <w:rPr>
                <w:rFonts w:hint="eastAsia" w:ascii="仿宋" w:hAnsi="仿宋" w:eastAsia="仿宋" w:cs="仿宋"/>
                <w:i w:val="0"/>
                <w:iCs w:val="0"/>
                <w:color w:val="000000"/>
                <w:kern w:val="0"/>
                <w:sz w:val="22"/>
                <w:szCs w:val="22"/>
                <w:u w:val="none"/>
                <w:lang w:val="en-US" w:eastAsia="zh-CN" w:bidi="ar"/>
              </w:rPr>
              <w:t>宣传手册、宣传栏、文件印制等</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4、开展扫黑除恶工作，办理扫黑除恶案件，制作扫黑除恶宣传标语等经费</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5、法学会、案件评查、执法监督宣传等经费</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6、印制铁路护路宣传牌、平安创建宣传单、开展平安创建宣传活动、综治视联网建设及市域综合治理工作等经费</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7、机关信息化建设</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合                 计</w:t>
            </w:r>
          </w:p>
        </w:tc>
        <w:tc>
          <w:tcPr>
            <w:tcW w:w="2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b/>
                <w:i w:val="0"/>
                <w:color w:val="000000"/>
                <w:sz w:val="24"/>
                <w:szCs w:val="24"/>
                <w:u w:val="none"/>
                <w:lang w:val="en-US" w:eastAsia="zh-CN"/>
              </w:rPr>
            </w:pPr>
            <w:r>
              <w:rPr>
                <w:rFonts w:hint="eastAsia" w:ascii="仿宋" w:hAnsi="仿宋" w:eastAsia="仿宋" w:cs="仿宋"/>
                <w:b/>
                <w:i w:val="0"/>
                <w:color w:val="000000"/>
                <w:sz w:val="24"/>
                <w:szCs w:val="24"/>
                <w:u w:val="none"/>
                <w:lang w:val="en-US" w:eastAsia="zh-CN"/>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测算依据及说明</w:t>
            </w:r>
          </w:p>
        </w:tc>
        <w:tc>
          <w:tcPr>
            <w:tcW w:w="87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2"/>
                <w:szCs w:val="22"/>
                <w:u w:val="none"/>
              </w:rPr>
            </w:pPr>
            <w:r>
              <w:rPr>
                <w:rFonts w:hint="eastAsia" w:ascii="仿宋" w:hAnsi="仿宋" w:eastAsia="仿宋" w:cs="仿宋"/>
                <w:i w:val="0"/>
                <w:color w:val="000000"/>
                <w:sz w:val="22"/>
                <w:szCs w:val="22"/>
                <w:u w:val="none"/>
              </w:rPr>
              <w:t>根据以前年度工作经费测算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项目绩效目标</w:t>
            </w:r>
          </w:p>
        </w:tc>
        <w:tc>
          <w:tcPr>
            <w:tcW w:w="59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中期目标</w:t>
            </w:r>
          </w:p>
        </w:tc>
        <w:tc>
          <w:tcPr>
            <w:tcW w:w="27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2"/>
                <w:szCs w:val="22"/>
                <w:u w:val="none"/>
              </w:rPr>
            </w:pPr>
          </w:p>
        </w:tc>
        <w:tc>
          <w:tcPr>
            <w:tcW w:w="59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年中完成50%</w:t>
            </w:r>
          </w:p>
        </w:tc>
        <w:tc>
          <w:tcPr>
            <w:tcW w:w="2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年底完成100%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目</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年</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度</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绩</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效</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指</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标</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一级指标</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二级指标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指标内容</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指标值</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出</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指</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标</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维稳处突化解工作专项（含信息化建设、综合治理建设、扫黑除恶、执法监督、国家安全专项）</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维稳接访各类群体、重点人员上访事件；慰问重点人群、重点人员；有力打击涉黑涉恶人员；对特殊特困人员进行救助；努力提升群众工作安全感满意度；做好邪教人员教育转化等工作等</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2023年底完成</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不以盈利为目的，不产生直接经济效益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经济效益指标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确保社会稳定，维护人民群众的根本利益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社会效益指标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确保社会稳定，维护人民群众的根本利益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环境效益指标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可持续影响指标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确保社会稳定，维护人民群众的根本利益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可持续影响指标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具体指标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提升群众获得感幸福感满意度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具体指标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维稳处突化解工作专项（含信息化建设、综合治理建设、扫黑除恶、执法监督、国家安全专项）</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维稳接访各类群体、重点人员上访事件；慰问重点人群、重点人员；有力打击涉黑涉恶人员；对特殊特困人员进行救助；努力提升群众工作安全感满意度；做好邪教人员教育转化等工作等</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2023年底完成</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效</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益</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指</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标</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不以盈利为目的，不产生直接经济效益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经济效益指标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确保社会稳定，维护人民群众的根本利益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社会效益指标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确保社会稳定，维护人民群众的根本利益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环境效益指标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可持续影响指标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确保社会稳定，维护人民群众的根本利益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可持续影响指标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具体指标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提升群众获得感幸福感满意度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具体指标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维稳处突化解工作专项（含信息化建设、综合治理建设、扫黑除恶、执法监督、国家安全专项）</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维稳接访各类群体、重点人员上访事件；慰问重点人群、重点人员；有力打击涉黑涉恶人员；对特殊特困人员进行救助；努力提升群众工作安全感满意度；做好邪教人员教育转化等工作等</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2023年底完成</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服务对象满意度指标</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不以盈利为目的，不产生直接经济效益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经济效益指标</w:t>
            </w:r>
          </w:p>
        </w:tc>
      </w:tr>
    </w:tbl>
    <w:p>
      <w:pPr>
        <w:numPr>
          <w:ilvl w:val="0"/>
          <w:numId w:val="0"/>
        </w:numPr>
        <w:ind w:leftChars="0"/>
        <w:rPr>
          <w:rFonts w:hint="default"/>
          <w:b/>
          <w:bCs/>
          <w:color w:val="auto"/>
          <w:sz w:val="28"/>
          <w:szCs w:val="28"/>
          <w:lang w:val="en-US" w:eastAsia="zh-CN"/>
        </w:rPr>
      </w:pPr>
    </w:p>
    <w:p>
      <w:pPr>
        <w:widowControl w:val="0"/>
        <w:numPr>
          <w:ilvl w:val="0"/>
          <w:numId w:val="0"/>
        </w:numPr>
        <w:jc w:val="both"/>
        <w:rPr>
          <w:rFonts w:hint="default"/>
          <w:b/>
          <w:bCs/>
          <w:color w:val="auto"/>
          <w:sz w:val="28"/>
          <w:szCs w:val="28"/>
          <w:lang w:val="en-US" w:eastAsia="zh-CN"/>
        </w:rPr>
      </w:pPr>
    </w:p>
    <w:p>
      <w:pPr>
        <w:widowControl w:val="0"/>
        <w:numPr>
          <w:ilvl w:val="0"/>
          <w:numId w:val="0"/>
        </w:numPr>
        <w:jc w:val="both"/>
        <w:rPr>
          <w:rFonts w:hint="default"/>
          <w:b/>
          <w:bCs/>
          <w:color w:val="auto"/>
          <w:sz w:val="28"/>
          <w:szCs w:val="28"/>
          <w:lang w:val="en-US" w:eastAsia="zh-CN"/>
        </w:rPr>
      </w:pPr>
    </w:p>
    <w:p>
      <w:pPr>
        <w:widowControl w:val="0"/>
        <w:numPr>
          <w:ilvl w:val="0"/>
          <w:numId w:val="0"/>
        </w:numPr>
        <w:jc w:val="both"/>
        <w:rPr>
          <w:rFonts w:hint="default"/>
          <w:b/>
          <w:bCs/>
          <w:color w:val="auto"/>
          <w:sz w:val="28"/>
          <w:szCs w:val="28"/>
          <w:lang w:val="en-US" w:eastAsia="zh-CN"/>
        </w:rPr>
      </w:pPr>
    </w:p>
    <w:p>
      <w:pPr>
        <w:widowControl w:val="0"/>
        <w:numPr>
          <w:ilvl w:val="0"/>
          <w:numId w:val="0"/>
        </w:numPr>
        <w:jc w:val="both"/>
        <w:rPr>
          <w:rFonts w:hint="default"/>
          <w:b/>
          <w:bCs/>
          <w:color w:val="auto"/>
          <w:sz w:val="28"/>
          <w:szCs w:val="28"/>
          <w:lang w:val="en-US" w:eastAsia="zh-CN"/>
        </w:rPr>
      </w:pPr>
    </w:p>
    <w:p>
      <w:pPr>
        <w:widowControl w:val="0"/>
        <w:numPr>
          <w:ilvl w:val="0"/>
          <w:numId w:val="0"/>
        </w:numPr>
        <w:jc w:val="both"/>
        <w:rPr>
          <w:rFonts w:hint="default"/>
          <w:b/>
          <w:bCs/>
          <w:color w:val="auto"/>
          <w:sz w:val="28"/>
          <w:szCs w:val="28"/>
          <w:lang w:val="en-US" w:eastAsia="zh-CN"/>
        </w:rPr>
      </w:pPr>
    </w:p>
    <w:p>
      <w:pPr>
        <w:widowControl w:val="0"/>
        <w:numPr>
          <w:ilvl w:val="0"/>
          <w:numId w:val="0"/>
        </w:numPr>
        <w:jc w:val="both"/>
        <w:rPr>
          <w:rFonts w:hint="default"/>
          <w:b/>
          <w:bCs/>
          <w:color w:val="auto"/>
          <w:sz w:val="28"/>
          <w:szCs w:val="28"/>
          <w:lang w:val="en-US" w:eastAsia="zh-CN"/>
        </w:rPr>
      </w:pPr>
    </w:p>
    <w:p>
      <w:pPr>
        <w:widowControl w:val="0"/>
        <w:numPr>
          <w:ilvl w:val="0"/>
          <w:numId w:val="0"/>
        </w:numPr>
        <w:jc w:val="both"/>
        <w:rPr>
          <w:rFonts w:hint="default"/>
          <w:b/>
          <w:bCs/>
          <w:color w:val="auto"/>
          <w:sz w:val="28"/>
          <w:szCs w:val="28"/>
          <w:lang w:val="en-US" w:eastAsia="zh-CN"/>
        </w:rPr>
      </w:pPr>
    </w:p>
    <w:p>
      <w:pPr>
        <w:widowControl w:val="0"/>
        <w:numPr>
          <w:ilvl w:val="0"/>
          <w:numId w:val="0"/>
        </w:numPr>
        <w:jc w:val="both"/>
        <w:rPr>
          <w:rFonts w:hint="default"/>
          <w:b/>
          <w:bCs/>
          <w:color w:val="auto"/>
          <w:sz w:val="28"/>
          <w:szCs w:val="28"/>
          <w:lang w:val="en-US" w:eastAsia="zh-CN"/>
        </w:rPr>
      </w:pPr>
    </w:p>
    <w:p>
      <w:pPr>
        <w:widowControl w:val="0"/>
        <w:numPr>
          <w:ilvl w:val="0"/>
          <w:numId w:val="0"/>
        </w:numPr>
        <w:jc w:val="both"/>
        <w:rPr>
          <w:rFonts w:hint="default"/>
          <w:b/>
          <w:bCs/>
          <w:color w:val="auto"/>
          <w:sz w:val="28"/>
          <w:szCs w:val="28"/>
          <w:lang w:val="en-US" w:eastAsia="zh-CN"/>
        </w:rPr>
      </w:pPr>
    </w:p>
    <w:p>
      <w:pPr>
        <w:widowControl w:val="0"/>
        <w:numPr>
          <w:ilvl w:val="0"/>
          <w:numId w:val="0"/>
        </w:numPr>
        <w:jc w:val="both"/>
        <w:rPr>
          <w:rFonts w:hint="default"/>
          <w:b/>
          <w:bCs/>
          <w:color w:val="auto"/>
          <w:sz w:val="28"/>
          <w:szCs w:val="28"/>
          <w:lang w:val="en-US" w:eastAsia="zh-CN"/>
        </w:rPr>
      </w:pPr>
    </w:p>
    <w:p>
      <w:pPr>
        <w:widowControl w:val="0"/>
        <w:numPr>
          <w:ilvl w:val="0"/>
          <w:numId w:val="0"/>
        </w:numPr>
        <w:jc w:val="both"/>
        <w:rPr>
          <w:rFonts w:hint="default"/>
          <w:b/>
          <w:bCs/>
          <w:color w:val="auto"/>
          <w:sz w:val="28"/>
          <w:szCs w:val="28"/>
          <w:lang w:val="en-US" w:eastAsia="zh-CN"/>
        </w:rPr>
      </w:pPr>
    </w:p>
    <w:p>
      <w:pPr>
        <w:widowControl w:val="0"/>
        <w:numPr>
          <w:ilvl w:val="0"/>
          <w:numId w:val="0"/>
        </w:numPr>
        <w:jc w:val="both"/>
        <w:rPr>
          <w:rFonts w:hint="default"/>
          <w:b/>
          <w:bCs/>
          <w:color w:val="auto"/>
          <w:sz w:val="28"/>
          <w:szCs w:val="28"/>
          <w:lang w:val="en-US" w:eastAsia="zh-CN"/>
        </w:rPr>
      </w:pPr>
    </w:p>
    <w:p>
      <w:pPr>
        <w:widowControl w:val="0"/>
        <w:numPr>
          <w:ilvl w:val="0"/>
          <w:numId w:val="0"/>
        </w:numPr>
        <w:jc w:val="both"/>
        <w:rPr>
          <w:rFonts w:hint="default"/>
          <w:b/>
          <w:bCs/>
          <w:color w:val="auto"/>
          <w:sz w:val="28"/>
          <w:szCs w:val="28"/>
          <w:lang w:val="en-US" w:eastAsia="zh-CN"/>
        </w:rPr>
      </w:pPr>
    </w:p>
    <w:p>
      <w:pPr>
        <w:widowControl w:val="0"/>
        <w:numPr>
          <w:ilvl w:val="0"/>
          <w:numId w:val="0"/>
        </w:numPr>
        <w:jc w:val="both"/>
        <w:rPr>
          <w:rFonts w:hint="default"/>
          <w:b/>
          <w:bCs/>
          <w:color w:val="auto"/>
          <w:sz w:val="28"/>
          <w:szCs w:val="28"/>
          <w:lang w:val="en-US" w:eastAsia="zh-CN"/>
        </w:rPr>
      </w:pPr>
    </w:p>
    <w:p>
      <w:pPr>
        <w:widowControl w:val="0"/>
        <w:numPr>
          <w:ilvl w:val="0"/>
          <w:numId w:val="0"/>
        </w:numPr>
        <w:jc w:val="both"/>
        <w:rPr>
          <w:rFonts w:hint="default"/>
          <w:b/>
          <w:bCs/>
          <w:color w:val="auto"/>
          <w:sz w:val="28"/>
          <w:szCs w:val="28"/>
          <w:lang w:val="en-US" w:eastAsia="zh-CN"/>
        </w:rPr>
      </w:pPr>
    </w:p>
    <w:p>
      <w:pPr>
        <w:widowControl w:val="0"/>
        <w:numPr>
          <w:ilvl w:val="0"/>
          <w:numId w:val="0"/>
        </w:numPr>
        <w:jc w:val="both"/>
        <w:rPr>
          <w:rFonts w:hint="default"/>
          <w:b/>
          <w:bCs/>
          <w:color w:val="auto"/>
          <w:sz w:val="28"/>
          <w:szCs w:val="28"/>
          <w:lang w:val="en-US" w:eastAsia="zh-CN"/>
        </w:rPr>
      </w:pPr>
    </w:p>
    <w:tbl>
      <w:tblPr>
        <w:tblStyle w:val="3"/>
        <w:tblW w:w="9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1081"/>
        <w:gridCol w:w="1371"/>
        <w:gridCol w:w="2181"/>
        <w:gridCol w:w="1881"/>
        <w:gridCol w:w="1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926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2022年重点项目支出绩效目标表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926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（本表在项目库审核阶段报送）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840"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申报单位(盖章）：西塞山区教育局</w:t>
            </w:r>
          </w:p>
        </w:tc>
        <w:tc>
          <w:tcPr>
            <w:tcW w:w="1420" w:type="dxa"/>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项目名称</w:t>
            </w:r>
          </w:p>
        </w:tc>
        <w:tc>
          <w:tcPr>
            <w:tcW w:w="7934" w:type="dxa"/>
            <w:gridSpan w:val="5"/>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教育奖励专项资金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3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对应一级项目名称</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教育奖励专项资金</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一级部门名称</w:t>
            </w:r>
          </w:p>
        </w:tc>
        <w:tc>
          <w:tcPr>
            <w:tcW w:w="3301"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西塞山区教育局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32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项目属性</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持续性项目</w:t>
            </w:r>
            <w:r>
              <w:rPr>
                <w:rStyle w:val="5"/>
                <w:rFonts w:eastAsia="仿宋"/>
                <w:lang w:val="en-US" w:eastAsia="zh-CN" w:bidi="ar"/>
              </w:rPr>
              <w:t>√</w:t>
            </w:r>
          </w:p>
        </w:tc>
        <w:tc>
          <w:tcPr>
            <w:tcW w:w="54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新增项目□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32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项目分类</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常年性项目√</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延续性项目□</w:t>
            </w: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32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项目类别</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其他运转类□</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本级支出项目√</w:t>
            </w: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特定目标类——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转移性支出项目□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项目总预算</w:t>
            </w:r>
          </w:p>
        </w:tc>
        <w:tc>
          <w:tcPr>
            <w:tcW w:w="2452"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218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项目当年预算</w:t>
            </w:r>
          </w:p>
        </w:tc>
        <w:tc>
          <w:tcPr>
            <w:tcW w:w="3301"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326"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项目资金来源</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资金总额</w:t>
            </w:r>
          </w:p>
        </w:tc>
        <w:tc>
          <w:tcPr>
            <w:tcW w:w="5482"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326"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公共预算财政拨款</w:t>
            </w:r>
          </w:p>
        </w:tc>
        <w:tc>
          <w:tcPr>
            <w:tcW w:w="5482"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326"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政府性基金预算财政拨款</w:t>
            </w:r>
          </w:p>
        </w:tc>
        <w:tc>
          <w:tcPr>
            <w:tcW w:w="5482" w:type="dxa"/>
            <w:gridSpan w:val="3"/>
            <w:tcBorders>
              <w:top w:val="single" w:color="000000" w:sz="4" w:space="0"/>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26"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52"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其他资金</w:t>
            </w:r>
          </w:p>
        </w:tc>
        <w:tc>
          <w:tcPr>
            <w:tcW w:w="5482" w:type="dxa"/>
            <w:gridSpan w:val="3"/>
            <w:tcBorders>
              <w:top w:val="single" w:color="000000" w:sz="4" w:space="0"/>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326"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52"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其中：使用上年度财政拨款结余</w:t>
            </w:r>
          </w:p>
        </w:tc>
        <w:tc>
          <w:tcPr>
            <w:tcW w:w="5482"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支出功能类科目</w:t>
            </w:r>
          </w:p>
        </w:tc>
        <w:tc>
          <w:tcPr>
            <w:tcW w:w="2452"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类：</w:t>
            </w:r>
          </w:p>
        </w:tc>
        <w:tc>
          <w:tcPr>
            <w:tcW w:w="218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款：</w:t>
            </w: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项目概况、内容及依据</w:t>
            </w:r>
          </w:p>
        </w:tc>
        <w:tc>
          <w:tcPr>
            <w:tcW w:w="7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织指导、协调教育系统干部培训工作负责推进义务教育均衡发展和促进教育公平,负责义务教育的宏观指导与协调:管理指导普通中小学教育、全国实施素质教育;督促检查全区各类学校的办学标准、教学基本要求、教学基本文件的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7"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项目前两年预算安排、使用情况及当年预算变动情况</w:t>
            </w:r>
          </w:p>
        </w:tc>
        <w:tc>
          <w:tcPr>
            <w:tcW w:w="7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每年安排预算资金100万元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项目支出明细预算</w:t>
            </w:r>
          </w:p>
        </w:tc>
        <w:tc>
          <w:tcPr>
            <w:tcW w:w="65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项目支出明细</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1、各学校教育奖励专项支出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                 计</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测算依据及说明</w:t>
            </w:r>
          </w:p>
        </w:tc>
        <w:tc>
          <w:tcPr>
            <w:tcW w:w="7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管理指导普通中小学教育、全国实施素质教育;督促检查全区各类学校的办学标准、教学基本要求、教学基本文件的落实情况。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项目绩效目标</w:t>
            </w:r>
          </w:p>
        </w:tc>
        <w:tc>
          <w:tcPr>
            <w:tcW w:w="46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中期目标</w:t>
            </w: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1"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46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负责义务教育的宏观指导与协调:管理指导普通中小学教育、全国实施素质教育;督促检查全区各类学校的办学标准、教学基本要求、教学基本文件的落实情况。</w:t>
            </w: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负责义务教育的宏观指导与协调:管理指导普通中小学教育、全国实施素质教育;督促检查全区各类学校的办学标准、教学基本要求、教学基本文件的落实情况。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二级指标</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指标内容</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指标值</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项目资金运行覆盖的学校数量</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16个</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项目资金运行教学质量提高</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项目资金运行完成的时限</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10月底</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成本指标</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经济效益指标</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社会效益指标</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项目资金运行产生的社会效益</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满意度良好</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环境效益指标</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可持续影响指标</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项目资金运行对教育事业的可持续影响</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持续良好影响</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服务对象满意度指标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具体指标</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项目资金运行服务对满意度</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bl>
    <w:p>
      <w:pPr>
        <w:widowControl w:val="0"/>
        <w:numPr>
          <w:ilvl w:val="0"/>
          <w:numId w:val="0"/>
        </w:numPr>
        <w:jc w:val="both"/>
        <w:rPr>
          <w:rFonts w:hint="default"/>
          <w:b/>
          <w:bCs/>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YjIzNmRiNTVkYTFkZDBmNThmNGQ5ZGM1ZTkyMzcifQ=="/>
  </w:docVars>
  <w:rsids>
    <w:rsidRoot w:val="00000000"/>
    <w:rsid w:val="087A7317"/>
    <w:rsid w:val="0A6957BB"/>
    <w:rsid w:val="0F6C51EF"/>
    <w:rsid w:val="1F654693"/>
    <w:rsid w:val="243802B2"/>
    <w:rsid w:val="27AF3E15"/>
    <w:rsid w:val="30C85883"/>
    <w:rsid w:val="3B461E54"/>
    <w:rsid w:val="4D3B7DA3"/>
    <w:rsid w:val="570363BD"/>
    <w:rsid w:val="64BD2528"/>
    <w:rsid w:val="67260074"/>
    <w:rsid w:val="6BE741CA"/>
    <w:rsid w:val="6E797BF3"/>
    <w:rsid w:val="75992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91"/>
    <w:basedOn w:val="4"/>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2350</Words>
  <Characters>2504</Characters>
  <Lines>0</Lines>
  <Paragraphs>0</Paragraphs>
  <TotalTime>1</TotalTime>
  <ScaleCrop>false</ScaleCrop>
  <LinksUpToDate>false</LinksUpToDate>
  <CharactersWithSpaces>2552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2023-04-25T02:18:00Z</dcterms:created>
  <dc:creator>Administrator</dc:creator>
  <cp:lastModifiedBy>温差</cp:lastModifiedBy>
  <dcterms:modified xsi:type="dcterms:W3CDTF">2023-07-26T09:39:24Z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6854F596CF1C4F339C46743BAF2EAD59_13</vt:lpwstr>
  </property>
</Properties>
</file>