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B4DF81">
      <w:pPr>
        <w:widowControl/>
        <w:jc w:val="center"/>
        <w:rPr>
          <w:rFonts w:ascii="Times New Roman" w:eastAsia="方正小标宋简体"/>
          <w:sz w:val="72"/>
          <w:szCs w:val="72"/>
        </w:rPr>
      </w:pPr>
      <w:bookmarkStart w:id="14" w:name="_GoBack"/>
      <w:bookmarkEnd w:id="14"/>
    </w:p>
    <w:p w14:paraId="0360CFB5">
      <w:pPr>
        <w:widowControl/>
        <w:jc w:val="center"/>
        <w:rPr>
          <w:rFonts w:ascii="Times New Roman" w:eastAsia="方正小标宋简体"/>
          <w:sz w:val="72"/>
          <w:szCs w:val="72"/>
        </w:rPr>
      </w:pPr>
      <w:r>
        <w:rPr>
          <w:rFonts w:hint="eastAsia" w:ascii="Times New Roman" w:eastAsia="方正小标宋简体"/>
          <w:sz w:val="72"/>
          <w:szCs w:val="72"/>
        </w:rPr>
        <w:t>部门整体支出绩效</w:t>
      </w:r>
      <w:r>
        <w:rPr>
          <w:rFonts w:ascii="Times New Roman" w:eastAsia="方正小标宋简体"/>
          <w:sz w:val="72"/>
          <w:szCs w:val="72"/>
        </w:rPr>
        <w:t>评价报告</w:t>
      </w:r>
    </w:p>
    <w:p w14:paraId="4DFAFABE">
      <w:pPr>
        <w:widowControl/>
        <w:jc w:val="center"/>
        <w:rPr>
          <w:rFonts w:ascii="Times New Roman" w:eastAsia="方正小标宋简体"/>
          <w:sz w:val="44"/>
          <w:szCs w:val="44"/>
        </w:rPr>
      </w:pPr>
    </w:p>
    <w:p w14:paraId="7D76789F">
      <w:pPr>
        <w:jc w:val="left"/>
        <w:rPr>
          <w:rFonts w:ascii="Times New Roman"/>
          <w:szCs w:val="32"/>
        </w:rPr>
      </w:pPr>
    </w:p>
    <w:p w14:paraId="6C34E223">
      <w:pPr>
        <w:ind w:left="1575" w:right="-227" w:rightChars="-72" w:hanging="1580" w:hangingChars="500"/>
        <w:rPr>
          <w:rFonts w:ascii="Times New Roman"/>
          <w:szCs w:val="32"/>
          <w:u w:val="single"/>
        </w:rPr>
      </w:pPr>
      <w:r>
        <w:rPr>
          <w:rFonts w:ascii="Times New Roman"/>
          <w:szCs w:val="32"/>
        </w:rPr>
        <w:t>报告名称：</w:t>
      </w:r>
      <w:r>
        <w:rPr>
          <w:rFonts w:hint="eastAsia" w:ascii="Times New Roman"/>
          <w:szCs w:val="32"/>
          <w:u w:val="single"/>
        </w:rPr>
        <w:t>黄石市西塞山区残疾人联合会部门整体支出绩效评价报告</w:t>
      </w:r>
    </w:p>
    <w:p w14:paraId="16CAE6F0">
      <w:pPr>
        <w:rPr>
          <w:rFonts w:ascii="Times New Roman"/>
          <w:szCs w:val="32"/>
          <w:u w:val="single"/>
        </w:rPr>
      </w:pPr>
      <w:r>
        <w:rPr>
          <w:rFonts w:ascii="Times New Roman"/>
          <w:szCs w:val="32"/>
        </w:rPr>
        <w:t>预算部门（单位）：</w:t>
      </w:r>
      <w:r>
        <w:rPr>
          <w:rFonts w:hint="eastAsia" w:ascii="Times New Roman"/>
          <w:szCs w:val="32"/>
          <w:u w:val="single"/>
        </w:rPr>
        <w:t>黄石市西塞山区残疾人联合会</w:t>
      </w:r>
      <w:r>
        <w:rPr>
          <w:rFonts w:ascii="Times New Roman"/>
          <w:szCs w:val="32"/>
          <w:u w:val="single"/>
        </w:rPr>
        <w:t xml:space="preserve">                      </w:t>
      </w:r>
    </w:p>
    <w:p w14:paraId="4E7393EA">
      <w:pPr>
        <w:rPr>
          <w:rFonts w:ascii="Times New Roman"/>
          <w:szCs w:val="32"/>
        </w:rPr>
      </w:pPr>
      <w:r>
        <w:rPr>
          <w:rFonts w:ascii="Times New Roman"/>
          <w:szCs w:val="32"/>
        </w:rPr>
        <w:t>预算年度：</w:t>
      </w:r>
      <w:r>
        <w:rPr>
          <w:rFonts w:ascii="Times New Roman"/>
          <w:szCs w:val="32"/>
          <w:u w:val="single"/>
        </w:rPr>
        <w:t>202</w:t>
      </w:r>
      <w:r>
        <w:rPr>
          <w:rFonts w:hint="eastAsia" w:ascii="Times New Roman"/>
          <w:szCs w:val="32"/>
          <w:u w:val="single"/>
        </w:rPr>
        <w:t>2</w:t>
      </w:r>
      <w:r>
        <w:rPr>
          <w:rFonts w:ascii="Times New Roman"/>
          <w:szCs w:val="32"/>
          <w:u w:val="single"/>
        </w:rPr>
        <w:t xml:space="preserve">年度                                      </w:t>
      </w:r>
    </w:p>
    <w:p w14:paraId="09C3853C">
      <w:pPr>
        <w:jc w:val="left"/>
        <w:rPr>
          <w:rFonts w:ascii="Times New Roman"/>
          <w:szCs w:val="32"/>
        </w:rPr>
      </w:pPr>
      <w:r>
        <w:rPr>
          <w:rFonts w:ascii="Times New Roman"/>
          <w:szCs w:val="32"/>
        </w:rPr>
        <w:t>评价类型：项目</w:t>
      </w:r>
      <w:r>
        <w:rPr>
          <w:rFonts w:ascii="Times New Roman"/>
          <w:szCs w:val="32"/>
        </w:rPr>
        <w:sym w:font="Wingdings 2" w:char="00A3"/>
      </w:r>
      <w:r>
        <w:rPr>
          <w:rFonts w:ascii="Times New Roman"/>
          <w:szCs w:val="32"/>
        </w:rPr>
        <w:t xml:space="preserve">       政策□        部门整体</w:t>
      </w:r>
      <w:r>
        <w:rPr>
          <w:rFonts w:hint="eastAsia" w:ascii="Times New Roman"/>
          <w:szCs w:val="32"/>
        </w:rPr>
        <w:t>☑</w:t>
      </w:r>
    </w:p>
    <w:p w14:paraId="3A63D43C">
      <w:pPr>
        <w:jc w:val="left"/>
        <w:rPr>
          <w:rFonts w:ascii="Times New Roman"/>
          <w:szCs w:val="32"/>
        </w:rPr>
      </w:pPr>
    </w:p>
    <w:p w14:paraId="17DFC9A5">
      <w:pPr>
        <w:rPr>
          <w:rFonts w:ascii="Times New Roman"/>
          <w:szCs w:val="32"/>
          <w:u w:val="single"/>
        </w:rPr>
      </w:pPr>
      <w:r>
        <w:rPr>
          <w:rFonts w:ascii="Times New Roman"/>
          <w:szCs w:val="32"/>
        </w:rPr>
        <w:t>评价单位：</w:t>
      </w:r>
      <w:r>
        <w:rPr>
          <w:rFonts w:hint="eastAsia" w:ascii="Times New Roman"/>
          <w:szCs w:val="32"/>
          <w:u w:val="single"/>
        </w:rPr>
        <w:t>中达致远房地产资产评估（武汉）有限公司</w:t>
      </w:r>
      <w:r>
        <w:rPr>
          <w:rFonts w:ascii="Times New Roman"/>
          <w:szCs w:val="32"/>
          <w:u w:val="single"/>
        </w:rPr>
        <w:t xml:space="preserve">        </w:t>
      </w:r>
    </w:p>
    <w:p w14:paraId="03B99CE7">
      <w:pPr>
        <w:rPr>
          <w:rFonts w:ascii="Times New Roman"/>
          <w:szCs w:val="32"/>
        </w:rPr>
      </w:pPr>
      <w:r>
        <w:rPr>
          <w:rFonts w:ascii="Times New Roman"/>
          <w:szCs w:val="32"/>
        </w:rPr>
        <w:t>主评人1：</w:t>
      </w:r>
      <w:r>
        <w:rPr>
          <w:rFonts w:ascii="Times New Roman"/>
          <w:szCs w:val="32"/>
          <w:u w:val="single"/>
        </w:rPr>
        <w:t xml:space="preserve"> </w:t>
      </w:r>
      <w:r>
        <w:rPr>
          <w:rFonts w:hint="eastAsia" w:ascii="Times New Roman"/>
          <w:szCs w:val="32"/>
          <w:u w:val="single"/>
        </w:rPr>
        <w:t xml:space="preserve"> </w:t>
      </w:r>
      <w:r>
        <w:rPr>
          <w:rFonts w:ascii="Times New Roman"/>
          <w:szCs w:val="32"/>
          <w:u w:val="single"/>
        </w:rPr>
        <w:t xml:space="preserve">                                             </w:t>
      </w:r>
      <w:r>
        <w:rPr>
          <w:rFonts w:ascii="Times New Roman"/>
          <w:szCs w:val="32"/>
        </w:rPr>
        <w:t xml:space="preserve">                                  </w:t>
      </w:r>
    </w:p>
    <w:p w14:paraId="5E707E94">
      <w:pPr>
        <w:rPr>
          <w:rFonts w:ascii="Times New Roman"/>
          <w:szCs w:val="32"/>
        </w:rPr>
      </w:pPr>
      <w:r>
        <w:rPr>
          <w:rFonts w:ascii="Times New Roman"/>
          <w:szCs w:val="32"/>
        </w:rPr>
        <w:t>主评人2：</w:t>
      </w:r>
      <w:r>
        <w:rPr>
          <w:rFonts w:ascii="Times New Roman"/>
          <w:szCs w:val="32"/>
          <w:u w:val="single"/>
        </w:rPr>
        <w:t xml:space="preserve"> </w:t>
      </w:r>
      <w:r>
        <w:rPr>
          <w:rFonts w:hint="eastAsia" w:ascii="Times New Roman"/>
          <w:szCs w:val="32"/>
          <w:u w:val="single"/>
        </w:rPr>
        <w:t xml:space="preserve"> </w:t>
      </w:r>
      <w:r>
        <w:rPr>
          <w:rFonts w:ascii="Times New Roman"/>
          <w:szCs w:val="32"/>
          <w:u w:val="single"/>
        </w:rPr>
        <w:t xml:space="preserve">                                             </w:t>
      </w:r>
      <w:r>
        <w:rPr>
          <w:rFonts w:ascii="Times New Roman"/>
          <w:szCs w:val="32"/>
        </w:rPr>
        <w:t xml:space="preserve"> </w:t>
      </w:r>
    </w:p>
    <w:p w14:paraId="5661536C">
      <w:pPr>
        <w:rPr>
          <w:rFonts w:ascii="Times New Roman"/>
          <w:szCs w:val="32"/>
        </w:rPr>
      </w:pPr>
      <w:r>
        <w:rPr>
          <w:rFonts w:ascii="Times New Roman"/>
          <w:szCs w:val="32"/>
        </w:rPr>
        <w:t>正式提交日期：</w:t>
      </w:r>
      <w:r>
        <w:rPr>
          <w:rFonts w:ascii="Times New Roman"/>
          <w:szCs w:val="32"/>
          <w:u w:val="single"/>
        </w:rPr>
        <w:t xml:space="preserve"> 202</w:t>
      </w:r>
      <w:r>
        <w:rPr>
          <w:rFonts w:hint="eastAsia" w:ascii="Times New Roman"/>
          <w:szCs w:val="32"/>
          <w:u w:val="single"/>
        </w:rPr>
        <w:t>3</w:t>
      </w:r>
      <w:r>
        <w:rPr>
          <w:rFonts w:ascii="Times New Roman"/>
          <w:szCs w:val="32"/>
          <w:u w:val="single"/>
        </w:rPr>
        <w:t>年</w:t>
      </w:r>
      <w:r>
        <w:rPr>
          <w:rFonts w:hint="eastAsia" w:ascii="Times New Roman"/>
          <w:szCs w:val="32"/>
          <w:u w:val="single"/>
        </w:rPr>
        <w:t>8</w:t>
      </w:r>
      <w:r>
        <w:rPr>
          <w:rFonts w:ascii="Times New Roman"/>
          <w:szCs w:val="32"/>
          <w:u w:val="single"/>
        </w:rPr>
        <w:t>月</w:t>
      </w:r>
      <w:r>
        <w:rPr>
          <w:rFonts w:hint="eastAsia" w:ascii="Times New Roman"/>
          <w:szCs w:val="32"/>
          <w:u w:val="single"/>
        </w:rPr>
        <w:t>29</w:t>
      </w:r>
      <w:r>
        <w:rPr>
          <w:rFonts w:ascii="Times New Roman"/>
          <w:szCs w:val="32"/>
          <w:u w:val="single"/>
        </w:rPr>
        <w:t xml:space="preserve">日                         </w:t>
      </w:r>
    </w:p>
    <w:p w14:paraId="03A65409">
      <w:pPr>
        <w:jc w:val="center"/>
        <w:rPr>
          <w:rFonts w:ascii="Times New Roman" w:eastAsia="方正小标宋简体"/>
          <w:sz w:val="36"/>
          <w:szCs w:val="36"/>
        </w:rPr>
        <w:sectPr>
          <w:pgSz w:w="11906" w:h="16838"/>
          <w:pgMar w:top="2098" w:right="1474" w:bottom="1984" w:left="1588" w:header="851" w:footer="992" w:gutter="0"/>
          <w:pgNumType w:fmt="numberInDash"/>
          <w:cols w:space="0" w:num="1"/>
          <w:docGrid w:type="linesAndChars" w:linePitch="579" w:charSpace="-1024"/>
        </w:sectPr>
      </w:pPr>
    </w:p>
    <w:p w14:paraId="0C4881C1">
      <w:pPr>
        <w:jc w:val="center"/>
        <w:rPr>
          <w:rFonts w:ascii="Times New Roman" w:eastAsia="方正小标宋简体"/>
          <w:sz w:val="36"/>
          <w:szCs w:val="36"/>
        </w:rPr>
      </w:pPr>
      <w:r>
        <w:rPr>
          <w:rFonts w:hint="eastAsia" w:ascii="Times New Roman" w:eastAsia="方正小标宋简体"/>
          <w:sz w:val="36"/>
          <w:szCs w:val="36"/>
        </w:rPr>
        <w:t>2022年度黄石市西塞山区残疾人联合会</w:t>
      </w:r>
    </w:p>
    <w:p w14:paraId="258919BF">
      <w:pPr>
        <w:jc w:val="center"/>
        <w:rPr>
          <w:rFonts w:ascii="Times New Roman" w:eastAsia="方正小标宋简体"/>
          <w:sz w:val="36"/>
          <w:szCs w:val="36"/>
        </w:rPr>
      </w:pPr>
      <w:r>
        <w:rPr>
          <w:rFonts w:hint="eastAsia" w:ascii="Times New Roman" w:eastAsia="方正小标宋简体"/>
          <w:sz w:val="36"/>
          <w:szCs w:val="36"/>
        </w:rPr>
        <w:t>部门整体支出绩效评价报告</w:t>
      </w:r>
    </w:p>
    <w:p w14:paraId="183273D5">
      <w:pPr>
        <w:jc w:val="center"/>
        <w:rPr>
          <w:rFonts w:ascii="Times New Roman" w:eastAsia="仿宋"/>
          <w:szCs w:val="32"/>
        </w:rPr>
      </w:pPr>
    </w:p>
    <w:p w14:paraId="317BFF30">
      <w:pPr>
        <w:pStyle w:val="4"/>
        <w:topLinePunct/>
        <w:spacing w:line="560" w:lineRule="exact"/>
        <w:ind w:firstLine="630"/>
        <w:rPr>
          <w:rFonts w:ascii="Times New Roman" w:hAnsi="Times New Roman"/>
          <w:b w:val="0"/>
          <w:sz w:val="32"/>
        </w:rPr>
      </w:pPr>
      <w:r>
        <w:rPr>
          <w:rFonts w:ascii="Times New Roman" w:hAnsi="Times New Roman"/>
          <w:b w:val="0"/>
          <w:sz w:val="32"/>
        </w:rPr>
        <w:t>一、评价结论</w:t>
      </w:r>
    </w:p>
    <w:p w14:paraId="25327763">
      <w:pPr>
        <w:pStyle w:val="5"/>
        <w:spacing w:line="560" w:lineRule="exact"/>
        <w:ind w:firstLine="633"/>
        <w:rPr>
          <w:rFonts w:ascii="Times New Roman" w:hAnsi="Times New Roman" w:eastAsia="楷体"/>
          <w:sz w:val="32"/>
          <w:szCs w:val="36"/>
        </w:rPr>
      </w:pPr>
      <w:bookmarkStart w:id="0" w:name="_Toc40281669"/>
      <w:r>
        <w:rPr>
          <w:rFonts w:ascii="Times New Roman" w:hAnsi="Times New Roman" w:eastAsia="楷体"/>
          <w:sz w:val="32"/>
          <w:szCs w:val="36"/>
        </w:rPr>
        <w:t>（一）评价分数和等级</w:t>
      </w:r>
    </w:p>
    <w:p w14:paraId="26F54384">
      <w:pPr>
        <w:spacing w:line="560" w:lineRule="exact"/>
        <w:ind w:firstLine="632" w:firstLineChars="200"/>
        <w:rPr>
          <w:rFonts w:ascii="Times New Roman"/>
        </w:rPr>
      </w:pPr>
      <w:r>
        <w:rPr>
          <w:rFonts w:ascii="Times New Roman"/>
          <w:szCs w:val="32"/>
        </w:rPr>
        <w:t>202</w:t>
      </w:r>
      <w:r>
        <w:rPr>
          <w:rFonts w:hint="eastAsia" w:ascii="Times New Roman"/>
          <w:szCs w:val="32"/>
        </w:rPr>
        <w:t>2</w:t>
      </w:r>
      <w:r>
        <w:rPr>
          <w:rFonts w:ascii="Times New Roman"/>
          <w:szCs w:val="32"/>
        </w:rPr>
        <w:t>年</w:t>
      </w:r>
      <w:r>
        <w:rPr>
          <w:rFonts w:hint="eastAsia" w:ascii="Times New Roman"/>
          <w:szCs w:val="32"/>
        </w:rPr>
        <w:t>黄石市西塞山区残疾人联合会部门整体支出绩效</w:t>
      </w:r>
      <w:r>
        <w:rPr>
          <w:rFonts w:ascii="Times New Roman"/>
        </w:rPr>
        <w:t>评价得分</w:t>
      </w:r>
      <w:r>
        <w:rPr>
          <w:rFonts w:hint="eastAsia" w:ascii="Times New Roman"/>
          <w:szCs w:val="32"/>
        </w:rPr>
        <w:t>91.82</w:t>
      </w:r>
      <w:r>
        <w:rPr>
          <w:rFonts w:ascii="Times New Roman"/>
        </w:rPr>
        <w:t>分，评价等级为“</w:t>
      </w:r>
      <w:r>
        <w:rPr>
          <w:rFonts w:hint="eastAsia" w:ascii="Times New Roman"/>
        </w:rPr>
        <w:t>优</w:t>
      </w:r>
      <w:r>
        <w:rPr>
          <w:rFonts w:ascii="Times New Roman"/>
        </w:rPr>
        <w:t>”。</w:t>
      </w:r>
    </w:p>
    <w:p w14:paraId="4DE82563">
      <w:pPr>
        <w:ind w:firstLine="632" w:firstLineChars="200"/>
        <w:rPr>
          <w:rFonts w:ascii="Times New Roman"/>
        </w:rPr>
      </w:pPr>
      <w:r>
        <w:rPr>
          <w:rFonts w:ascii="Times New Roman"/>
        </w:rPr>
        <w:t>评分表如下：</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45"/>
        <w:gridCol w:w="1988"/>
        <w:gridCol w:w="3262"/>
        <w:gridCol w:w="1144"/>
        <w:gridCol w:w="1221"/>
      </w:tblGrid>
      <w:tr w14:paraId="08846A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1445" w:type="dxa"/>
            <w:vAlign w:val="center"/>
          </w:tcPr>
          <w:p w14:paraId="265A6BA0">
            <w:pPr>
              <w:widowControl/>
              <w:spacing w:line="0" w:lineRule="atLeast"/>
              <w:jc w:val="center"/>
              <w:textAlignment w:val="center"/>
              <w:rPr>
                <w:rFonts w:hAnsi="仿宋_GB2312"/>
                <w:b/>
                <w:bCs/>
                <w:sz w:val="28"/>
                <w:szCs w:val="28"/>
              </w:rPr>
            </w:pPr>
            <w:r>
              <w:rPr>
                <w:rFonts w:hAnsi="仿宋_GB2312"/>
                <w:b/>
                <w:bCs/>
                <w:sz w:val="28"/>
                <w:szCs w:val="28"/>
              </w:rPr>
              <w:t>一级指标</w:t>
            </w:r>
          </w:p>
        </w:tc>
        <w:tc>
          <w:tcPr>
            <w:tcW w:w="1988" w:type="dxa"/>
            <w:vAlign w:val="center"/>
          </w:tcPr>
          <w:p w14:paraId="1C3E4DA1">
            <w:pPr>
              <w:widowControl/>
              <w:spacing w:line="0" w:lineRule="atLeast"/>
              <w:jc w:val="center"/>
              <w:textAlignment w:val="center"/>
              <w:rPr>
                <w:rFonts w:hAnsi="仿宋_GB2312"/>
                <w:b/>
                <w:bCs/>
                <w:sz w:val="28"/>
                <w:szCs w:val="28"/>
              </w:rPr>
            </w:pPr>
            <w:r>
              <w:rPr>
                <w:rFonts w:hAnsi="仿宋_GB2312"/>
                <w:b/>
                <w:bCs/>
                <w:sz w:val="28"/>
                <w:szCs w:val="28"/>
              </w:rPr>
              <w:t>二级指标</w:t>
            </w:r>
          </w:p>
        </w:tc>
        <w:tc>
          <w:tcPr>
            <w:tcW w:w="3262" w:type="dxa"/>
            <w:vAlign w:val="center"/>
          </w:tcPr>
          <w:p w14:paraId="18D2F860">
            <w:pPr>
              <w:widowControl/>
              <w:spacing w:line="0" w:lineRule="atLeast"/>
              <w:jc w:val="center"/>
              <w:textAlignment w:val="center"/>
              <w:rPr>
                <w:rFonts w:hAnsi="仿宋_GB2312"/>
                <w:b/>
                <w:bCs/>
                <w:sz w:val="28"/>
                <w:szCs w:val="28"/>
              </w:rPr>
            </w:pPr>
            <w:r>
              <w:rPr>
                <w:rFonts w:hAnsi="仿宋_GB2312"/>
                <w:b/>
                <w:bCs/>
                <w:sz w:val="28"/>
                <w:szCs w:val="28"/>
              </w:rPr>
              <w:t>三级指标</w:t>
            </w:r>
          </w:p>
        </w:tc>
        <w:tc>
          <w:tcPr>
            <w:tcW w:w="1144" w:type="dxa"/>
            <w:vAlign w:val="center"/>
          </w:tcPr>
          <w:p w14:paraId="76EA8CFE">
            <w:pPr>
              <w:widowControl/>
              <w:spacing w:line="0" w:lineRule="atLeast"/>
              <w:jc w:val="center"/>
              <w:textAlignment w:val="center"/>
              <w:rPr>
                <w:rFonts w:hAnsi="仿宋_GB2312"/>
                <w:b/>
                <w:bCs/>
                <w:sz w:val="28"/>
                <w:szCs w:val="28"/>
              </w:rPr>
            </w:pPr>
            <w:r>
              <w:rPr>
                <w:rFonts w:hAnsi="仿宋_GB2312"/>
                <w:b/>
                <w:bCs/>
                <w:sz w:val="28"/>
                <w:szCs w:val="28"/>
              </w:rPr>
              <w:t>分值</w:t>
            </w:r>
          </w:p>
        </w:tc>
        <w:tc>
          <w:tcPr>
            <w:tcW w:w="1221" w:type="dxa"/>
            <w:vAlign w:val="center"/>
          </w:tcPr>
          <w:p w14:paraId="1AAEFBE0">
            <w:pPr>
              <w:widowControl/>
              <w:spacing w:line="0" w:lineRule="atLeast"/>
              <w:jc w:val="center"/>
              <w:textAlignment w:val="center"/>
              <w:rPr>
                <w:rFonts w:hAnsi="仿宋_GB2312"/>
                <w:b/>
                <w:bCs/>
                <w:sz w:val="28"/>
                <w:szCs w:val="28"/>
              </w:rPr>
            </w:pPr>
            <w:r>
              <w:rPr>
                <w:rFonts w:hAnsi="仿宋_GB2312"/>
                <w:b/>
                <w:bCs/>
                <w:sz w:val="28"/>
                <w:szCs w:val="28"/>
              </w:rPr>
              <w:t>得分</w:t>
            </w:r>
          </w:p>
        </w:tc>
      </w:tr>
      <w:tr w14:paraId="38C4CD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5" w:type="dxa"/>
            <w:vMerge w:val="restart"/>
            <w:vAlign w:val="center"/>
          </w:tcPr>
          <w:p w14:paraId="501BE416">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运行成本(8)</w:t>
            </w:r>
          </w:p>
        </w:tc>
        <w:tc>
          <w:tcPr>
            <w:tcW w:w="1988" w:type="dxa"/>
            <w:vAlign w:val="center"/>
          </w:tcPr>
          <w:p w14:paraId="6ACBF644">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公用经费控制(2)</w:t>
            </w:r>
          </w:p>
        </w:tc>
        <w:tc>
          <w:tcPr>
            <w:tcW w:w="3262" w:type="dxa"/>
            <w:vAlign w:val="center"/>
          </w:tcPr>
          <w:p w14:paraId="04EF9FDB">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公用经费控制率</w:t>
            </w:r>
          </w:p>
        </w:tc>
        <w:tc>
          <w:tcPr>
            <w:tcW w:w="1144" w:type="dxa"/>
            <w:vAlign w:val="center"/>
          </w:tcPr>
          <w:p w14:paraId="1AABE725">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2.0</w:t>
            </w:r>
          </w:p>
        </w:tc>
        <w:tc>
          <w:tcPr>
            <w:tcW w:w="1221" w:type="dxa"/>
            <w:vAlign w:val="center"/>
          </w:tcPr>
          <w:p w14:paraId="19F6AB8D">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2.0</w:t>
            </w:r>
          </w:p>
        </w:tc>
      </w:tr>
      <w:tr w14:paraId="0E9877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5" w:type="dxa"/>
            <w:vMerge w:val="continue"/>
            <w:vAlign w:val="center"/>
          </w:tcPr>
          <w:p w14:paraId="10F09144">
            <w:pPr>
              <w:widowControl/>
              <w:spacing w:line="0" w:lineRule="atLeast"/>
              <w:jc w:val="center"/>
              <w:rPr>
                <w:rFonts w:hAnsi="仿宋_GB2312"/>
                <w:sz w:val="28"/>
                <w:szCs w:val="28"/>
              </w:rPr>
            </w:pPr>
          </w:p>
        </w:tc>
        <w:tc>
          <w:tcPr>
            <w:tcW w:w="1988" w:type="dxa"/>
            <w:vAlign w:val="center"/>
          </w:tcPr>
          <w:p w14:paraId="03FB57A1">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在职人员控制(2)</w:t>
            </w:r>
          </w:p>
        </w:tc>
        <w:tc>
          <w:tcPr>
            <w:tcW w:w="3262" w:type="dxa"/>
            <w:vAlign w:val="center"/>
          </w:tcPr>
          <w:p w14:paraId="1A7DE967">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在职人员控制率</w:t>
            </w:r>
          </w:p>
        </w:tc>
        <w:tc>
          <w:tcPr>
            <w:tcW w:w="1144" w:type="dxa"/>
            <w:vAlign w:val="center"/>
          </w:tcPr>
          <w:p w14:paraId="6825092E">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2.0</w:t>
            </w:r>
          </w:p>
        </w:tc>
        <w:tc>
          <w:tcPr>
            <w:tcW w:w="1221" w:type="dxa"/>
            <w:vAlign w:val="center"/>
          </w:tcPr>
          <w:p w14:paraId="62C3EB77">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2.0</w:t>
            </w:r>
          </w:p>
        </w:tc>
      </w:tr>
      <w:tr w14:paraId="666DC9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5" w:type="dxa"/>
            <w:vMerge w:val="continue"/>
            <w:vAlign w:val="center"/>
          </w:tcPr>
          <w:p w14:paraId="52CE36D0">
            <w:pPr>
              <w:widowControl/>
              <w:spacing w:line="0" w:lineRule="atLeast"/>
              <w:jc w:val="center"/>
              <w:rPr>
                <w:rFonts w:hAnsi="仿宋_GB2312"/>
                <w:sz w:val="28"/>
                <w:szCs w:val="28"/>
              </w:rPr>
            </w:pPr>
          </w:p>
        </w:tc>
        <w:tc>
          <w:tcPr>
            <w:tcW w:w="1988" w:type="dxa"/>
            <w:vMerge w:val="restart"/>
            <w:vAlign w:val="center"/>
          </w:tcPr>
          <w:p w14:paraId="3AE1AC01">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项目支出成本控制（4)</w:t>
            </w:r>
          </w:p>
        </w:tc>
        <w:tc>
          <w:tcPr>
            <w:tcW w:w="3262" w:type="dxa"/>
            <w:vAlign w:val="center"/>
          </w:tcPr>
          <w:p w14:paraId="5DF78A7C">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会议费控制率</w:t>
            </w:r>
          </w:p>
        </w:tc>
        <w:tc>
          <w:tcPr>
            <w:tcW w:w="1144" w:type="dxa"/>
            <w:vAlign w:val="center"/>
          </w:tcPr>
          <w:p w14:paraId="161F34F5">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1.0</w:t>
            </w:r>
          </w:p>
        </w:tc>
        <w:tc>
          <w:tcPr>
            <w:tcW w:w="1221" w:type="dxa"/>
            <w:vAlign w:val="center"/>
          </w:tcPr>
          <w:p w14:paraId="2FF21A28">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1.0</w:t>
            </w:r>
          </w:p>
        </w:tc>
      </w:tr>
      <w:tr w14:paraId="42BFBE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5" w:type="dxa"/>
            <w:vMerge w:val="continue"/>
            <w:vAlign w:val="center"/>
          </w:tcPr>
          <w:p w14:paraId="7277BA35">
            <w:pPr>
              <w:widowControl/>
              <w:spacing w:line="0" w:lineRule="atLeast"/>
              <w:jc w:val="center"/>
              <w:rPr>
                <w:rFonts w:hAnsi="仿宋_GB2312"/>
                <w:sz w:val="28"/>
                <w:szCs w:val="28"/>
              </w:rPr>
            </w:pPr>
          </w:p>
        </w:tc>
        <w:tc>
          <w:tcPr>
            <w:tcW w:w="1988" w:type="dxa"/>
            <w:vMerge w:val="continue"/>
            <w:vAlign w:val="center"/>
          </w:tcPr>
          <w:p w14:paraId="785C5D2F">
            <w:pPr>
              <w:widowControl/>
              <w:spacing w:line="0" w:lineRule="atLeast"/>
              <w:jc w:val="center"/>
              <w:rPr>
                <w:rFonts w:hAnsi="仿宋_GB2312"/>
                <w:sz w:val="28"/>
                <w:szCs w:val="28"/>
              </w:rPr>
            </w:pPr>
          </w:p>
        </w:tc>
        <w:tc>
          <w:tcPr>
            <w:tcW w:w="3262" w:type="dxa"/>
            <w:vAlign w:val="center"/>
          </w:tcPr>
          <w:p w14:paraId="73EC4CB5">
            <w:pPr>
              <w:widowControl/>
              <w:spacing w:line="0" w:lineRule="atLeast"/>
              <w:jc w:val="center"/>
              <w:textAlignment w:val="center"/>
              <w:rPr>
                <w:rFonts w:hAnsi="仿宋_GB2312"/>
                <w:sz w:val="28"/>
                <w:szCs w:val="28"/>
              </w:rPr>
            </w:pPr>
            <w:r>
              <w:rPr>
                <w:rFonts w:hint="eastAsia" w:hAnsi="仿宋_GB2312" w:eastAsia="仿宋" w:cs="仿宋"/>
                <w:color w:val="000000"/>
                <w:kern w:val="0"/>
                <w:sz w:val="28"/>
                <w:szCs w:val="28"/>
                <w:lang w:eastAsia="zh-CN" w:bidi="ar"/>
              </w:rPr>
              <w:t>“三公”经费</w:t>
            </w:r>
            <w:r>
              <w:rPr>
                <w:rFonts w:hAnsi="仿宋_GB2312" w:eastAsia="仿宋" w:cs="仿宋"/>
                <w:color w:val="000000"/>
                <w:kern w:val="0"/>
                <w:sz w:val="28"/>
                <w:szCs w:val="28"/>
                <w:lang w:bidi="ar"/>
              </w:rPr>
              <w:t>变动率</w:t>
            </w:r>
          </w:p>
        </w:tc>
        <w:tc>
          <w:tcPr>
            <w:tcW w:w="1144" w:type="dxa"/>
            <w:vAlign w:val="center"/>
          </w:tcPr>
          <w:p w14:paraId="48C44378">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1.0</w:t>
            </w:r>
          </w:p>
        </w:tc>
        <w:tc>
          <w:tcPr>
            <w:tcW w:w="1221" w:type="dxa"/>
            <w:vAlign w:val="center"/>
          </w:tcPr>
          <w:p w14:paraId="475246C9">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1.0</w:t>
            </w:r>
          </w:p>
        </w:tc>
      </w:tr>
      <w:tr w14:paraId="0CEE6A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5" w:type="dxa"/>
            <w:vMerge w:val="continue"/>
            <w:vAlign w:val="center"/>
          </w:tcPr>
          <w:p w14:paraId="32D30AAE">
            <w:pPr>
              <w:widowControl/>
              <w:spacing w:line="0" w:lineRule="atLeast"/>
              <w:jc w:val="center"/>
              <w:rPr>
                <w:rFonts w:hAnsi="仿宋_GB2312"/>
                <w:sz w:val="28"/>
                <w:szCs w:val="28"/>
              </w:rPr>
            </w:pPr>
          </w:p>
        </w:tc>
        <w:tc>
          <w:tcPr>
            <w:tcW w:w="1988" w:type="dxa"/>
            <w:vMerge w:val="continue"/>
            <w:vAlign w:val="center"/>
          </w:tcPr>
          <w:p w14:paraId="3EF898A6">
            <w:pPr>
              <w:widowControl/>
              <w:spacing w:line="0" w:lineRule="atLeast"/>
              <w:jc w:val="center"/>
              <w:rPr>
                <w:rFonts w:hAnsi="仿宋_GB2312"/>
                <w:sz w:val="28"/>
                <w:szCs w:val="28"/>
              </w:rPr>
            </w:pPr>
          </w:p>
        </w:tc>
        <w:tc>
          <w:tcPr>
            <w:tcW w:w="3262" w:type="dxa"/>
            <w:vAlign w:val="center"/>
          </w:tcPr>
          <w:p w14:paraId="17CFE5D9">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新增资产支出控制率</w:t>
            </w:r>
          </w:p>
        </w:tc>
        <w:tc>
          <w:tcPr>
            <w:tcW w:w="1144" w:type="dxa"/>
            <w:vAlign w:val="center"/>
          </w:tcPr>
          <w:p w14:paraId="15A16279">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2.0</w:t>
            </w:r>
          </w:p>
        </w:tc>
        <w:tc>
          <w:tcPr>
            <w:tcW w:w="1221" w:type="dxa"/>
            <w:vAlign w:val="center"/>
          </w:tcPr>
          <w:p w14:paraId="33AF5107">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2.0</w:t>
            </w:r>
          </w:p>
        </w:tc>
      </w:tr>
      <w:tr w14:paraId="386D78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5" w:type="dxa"/>
            <w:vMerge w:val="restart"/>
            <w:vAlign w:val="center"/>
          </w:tcPr>
          <w:p w14:paraId="488346C2">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管理效率（22）</w:t>
            </w:r>
          </w:p>
        </w:tc>
        <w:tc>
          <w:tcPr>
            <w:tcW w:w="1988" w:type="dxa"/>
            <w:vMerge w:val="restart"/>
            <w:vAlign w:val="center"/>
          </w:tcPr>
          <w:p w14:paraId="7E030519">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战略管理（2）</w:t>
            </w:r>
          </w:p>
        </w:tc>
        <w:tc>
          <w:tcPr>
            <w:tcW w:w="3262" w:type="dxa"/>
            <w:vAlign w:val="center"/>
          </w:tcPr>
          <w:p w14:paraId="6B0B99CF">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中长期规划相符性</w:t>
            </w:r>
          </w:p>
        </w:tc>
        <w:tc>
          <w:tcPr>
            <w:tcW w:w="1144" w:type="dxa"/>
            <w:vAlign w:val="center"/>
          </w:tcPr>
          <w:p w14:paraId="623B6DB7">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1.0</w:t>
            </w:r>
          </w:p>
        </w:tc>
        <w:tc>
          <w:tcPr>
            <w:tcW w:w="1221" w:type="dxa"/>
            <w:vAlign w:val="center"/>
          </w:tcPr>
          <w:p w14:paraId="735C6000">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1.0</w:t>
            </w:r>
          </w:p>
        </w:tc>
      </w:tr>
      <w:tr w14:paraId="1973E5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5" w:type="dxa"/>
            <w:vMerge w:val="continue"/>
            <w:vAlign w:val="center"/>
          </w:tcPr>
          <w:p w14:paraId="67F5D789">
            <w:pPr>
              <w:widowControl/>
              <w:spacing w:line="0" w:lineRule="atLeast"/>
              <w:jc w:val="center"/>
              <w:rPr>
                <w:rFonts w:hAnsi="仿宋_GB2312"/>
                <w:sz w:val="28"/>
                <w:szCs w:val="28"/>
              </w:rPr>
            </w:pPr>
          </w:p>
        </w:tc>
        <w:tc>
          <w:tcPr>
            <w:tcW w:w="1988" w:type="dxa"/>
            <w:vMerge w:val="continue"/>
            <w:vAlign w:val="center"/>
          </w:tcPr>
          <w:p w14:paraId="0A2E7F44">
            <w:pPr>
              <w:widowControl/>
              <w:spacing w:line="0" w:lineRule="atLeast"/>
              <w:jc w:val="center"/>
              <w:rPr>
                <w:rFonts w:hAnsi="仿宋_GB2312"/>
                <w:sz w:val="28"/>
                <w:szCs w:val="28"/>
              </w:rPr>
            </w:pPr>
          </w:p>
        </w:tc>
        <w:tc>
          <w:tcPr>
            <w:tcW w:w="3262" w:type="dxa"/>
            <w:vAlign w:val="center"/>
          </w:tcPr>
          <w:p w14:paraId="3C8B6705">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工作计划健全性</w:t>
            </w:r>
          </w:p>
        </w:tc>
        <w:tc>
          <w:tcPr>
            <w:tcW w:w="1144" w:type="dxa"/>
            <w:vAlign w:val="center"/>
          </w:tcPr>
          <w:p w14:paraId="17E774C9">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1.0</w:t>
            </w:r>
          </w:p>
        </w:tc>
        <w:tc>
          <w:tcPr>
            <w:tcW w:w="1221" w:type="dxa"/>
            <w:vAlign w:val="center"/>
          </w:tcPr>
          <w:p w14:paraId="101F5CD4">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1.0</w:t>
            </w:r>
          </w:p>
        </w:tc>
      </w:tr>
      <w:tr w14:paraId="517F83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5" w:type="dxa"/>
            <w:vMerge w:val="continue"/>
            <w:vAlign w:val="center"/>
          </w:tcPr>
          <w:p w14:paraId="5DD5B034">
            <w:pPr>
              <w:widowControl/>
              <w:spacing w:line="0" w:lineRule="atLeast"/>
              <w:jc w:val="center"/>
              <w:rPr>
                <w:rFonts w:hAnsi="仿宋_GB2312"/>
                <w:sz w:val="28"/>
                <w:szCs w:val="28"/>
              </w:rPr>
            </w:pPr>
          </w:p>
        </w:tc>
        <w:tc>
          <w:tcPr>
            <w:tcW w:w="1988" w:type="dxa"/>
            <w:vMerge w:val="restart"/>
            <w:vAlign w:val="center"/>
          </w:tcPr>
          <w:p w14:paraId="05110540">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预算编制(5)</w:t>
            </w:r>
          </w:p>
        </w:tc>
        <w:tc>
          <w:tcPr>
            <w:tcW w:w="3262" w:type="dxa"/>
            <w:vAlign w:val="center"/>
          </w:tcPr>
          <w:p w14:paraId="1AF5F93B">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预算编制科学性</w:t>
            </w:r>
          </w:p>
        </w:tc>
        <w:tc>
          <w:tcPr>
            <w:tcW w:w="1144" w:type="dxa"/>
            <w:vAlign w:val="center"/>
          </w:tcPr>
          <w:p w14:paraId="43603D70">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1.0</w:t>
            </w:r>
          </w:p>
        </w:tc>
        <w:tc>
          <w:tcPr>
            <w:tcW w:w="1221" w:type="dxa"/>
            <w:vAlign w:val="center"/>
          </w:tcPr>
          <w:p w14:paraId="3192E238">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1.0</w:t>
            </w:r>
          </w:p>
        </w:tc>
      </w:tr>
      <w:tr w14:paraId="7B0A2C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5" w:type="dxa"/>
            <w:vMerge w:val="continue"/>
            <w:vAlign w:val="center"/>
          </w:tcPr>
          <w:p w14:paraId="26ADD630">
            <w:pPr>
              <w:widowControl/>
              <w:spacing w:line="0" w:lineRule="atLeast"/>
              <w:jc w:val="center"/>
              <w:rPr>
                <w:rFonts w:hAnsi="仿宋_GB2312"/>
                <w:sz w:val="28"/>
                <w:szCs w:val="28"/>
              </w:rPr>
            </w:pPr>
          </w:p>
        </w:tc>
        <w:tc>
          <w:tcPr>
            <w:tcW w:w="1988" w:type="dxa"/>
            <w:vMerge w:val="continue"/>
            <w:vAlign w:val="center"/>
          </w:tcPr>
          <w:p w14:paraId="166ADA0D">
            <w:pPr>
              <w:widowControl/>
              <w:spacing w:line="0" w:lineRule="atLeast"/>
              <w:jc w:val="center"/>
              <w:rPr>
                <w:rFonts w:hAnsi="仿宋_GB2312"/>
                <w:sz w:val="28"/>
                <w:szCs w:val="28"/>
              </w:rPr>
            </w:pPr>
          </w:p>
        </w:tc>
        <w:tc>
          <w:tcPr>
            <w:tcW w:w="3262" w:type="dxa"/>
            <w:vAlign w:val="center"/>
          </w:tcPr>
          <w:p w14:paraId="0052A775">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预算编制合理性</w:t>
            </w:r>
          </w:p>
        </w:tc>
        <w:tc>
          <w:tcPr>
            <w:tcW w:w="1144" w:type="dxa"/>
            <w:vAlign w:val="center"/>
          </w:tcPr>
          <w:p w14:paraId="045E7AD2">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1.0</w:t>
            </w:r>
          </w:p>
        </w:tc>
        <w:tc>
          <w:tcPr>
            <w:tcW w:w="1221" w:type="dxa"/>
            <w:vAlign w:val="center"/>
          </w:tcPr>
          <w:p w14:paraId="48F10356">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1.0</w:t>
            </w:r>
          </w:p>
        </w:tc>
      </w:tr>
      <w:tr w14:paraId="5B89D6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5" w:type="dxa"/>
            <w:vMerge w:val="continue"/>
            <w:vAlign w:val="center"/>
          </w:tcPr>
          <w:p w14:paraId="330A8523">
            <w:pPr>
              <w:widowControl/>
              <w:spacing w:line="0" w:lineRule="atLeast"/>
              <w:jc w:val="center"/>
              <w:rPr>
                <w:rFonts w:hAnsi="仿宋_GB2312"/>
                <w:sz w:val="28"/>
                <w:szCs w:val="28"/>
              </w:rPr>
            </w:pPr>
          </w:p>
        </w:tc>
        <w:tc>
          <w:tcPr>
            <w:tcW w:w="1988" w:type="dxa"/>
            <w:vMerge w:val="continue"/>
            <w:vAlign w:val="center"/>
          </w:tcPr>
          <w:p w14:paraId="682556CA">
            <w:pPr>
              <w:widowControl/>
              <w:spacing w:line="0" w:lineRule="atLeast"/>
              <w:jc w:val="center"/>
              <w:rPr>
                <w:rFonts w:hAnsi="仿宋_GB2312"/>
                <w:sz w:val="28"/>
                <w:szCs w:val="28"/>
              </w:rPr>
            </w:pPr>
          </w:p>
        </w:tc>
        <w:tc>
          <w:tcPr>
            <w:tcW w:w="3262" w:type="dxa"/>
            <w:vAlign w:val="center"/>
          </w:tcPr>
          <w:p w14:paraId="2E7D03D1">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立项规范性</w:t>
            </w:r>
          </w:p>
        </w:tc>
        <w:tc>
          <w:tcPr>
            <w:tcW w:w="1144" w:type="dxa"/>
            <w:vAlign w:val="center"/>
          </w:tcPr>
          <w:p w14:paraId="665A077A">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1.0</w:t>
            </w:r>
          </w:p>
        </w:tc>
        <w:tc>
          <w:tcPr>
            <w:tcW w:w="1221" w:type="dxa"/>
            <w:vAlign w:val="center"/>
          </w:tcPr>
          <w:p w14:paraId="0FC69FC0">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1.0</w:t>
            </w:r>
          </w:p>
        </w:tc>
      </w:tr>
      <w:tr w14:paraId="7075A6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5" w:type="dxa"/>
            <w:vMerge w:val="continue"/>
            <w:vAlign w:val="center"/>
          </w:tcPr>
          <w:p w14:paraId="413C1D67">
            <w:pPr>
              <w:widowControl/>
              <w:spacing w:line="0" w:lineRule="atLeast"/>
              <w:jc w:val="center"/>
              <w:rPr>
                <w:rFonts w:hAnsi="仿宋_GB2312"/>
                <w:sz w:val="28"/>
                <w:szCs w:val="28"/>
              </w:rPr>
            </w:pPr>
          </w:p>
        </w:tc>
        <w:tc>
          <w:tcPr>
            <w:tcW w:w="1988" w:type="dxa"/>
            <w:vMerge w:val="continue"/>
            <w:vAlign w:val="center"/>
          </w:tcPr>
          <w:p w14:paraId="61E5F07B">
            <w:pPr>
              <w:widowControl/>
              <w:spacing w:line="0" w:lineRule="atLeast"/>
              <w:jc w:val="center"/>
              <w:rPr>
                <w:rFonts w:hAnsi="仿宋_GB2312"/>
                <w:sz w:val="28"/>
                <w:szCs w:val="28"/>
              </w:rPr>
            </w:pPr>
          </w:p>
        </w:tc>
        <w:tc>
          <w:tcPr>
            <w:tcW w:w="3262" w:type="dxa"/>
            <w:vAlign w:val="center"/>
          </w:tcPr>
          <w:p w14:paraId="3D47B99A">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预算调整率</w:t>
            </w:r>
          </w:p>
        </w:tc>
        <w:tc>
          <w:tcPr>
            <w:tcW w:w="1144" w:type="dxa"/>
            <w:vAlign w:val="center"/>
          </w:tcPr>
          <w:p w14:paraId="3F5BCECE">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2.0</w:t>
            </w:r>
          </w:p>
        </w:tc>
        <w:tc>
          <w:tcPr>
            <w:tcW w:w="1221" w:type="dxa"/>
            <w:vAlign w:val="center"/>
          </w:tcPr>
          <w:p w14:paraId="2572BA6D">
            <w:pPr>
              <w:widowControl/>
              <w:spacing w:line="0" w:lineRule="atLeast"/>
              <w:jc w:val="center"/>
              <w:textAlignment w:val="center"/>
              <w:rPr>
                <w:rFonts w:hAnsi="仿宋_GB2312"/>
                <w:sz w:val="28"/>
                <w:szCs w:val="28"/>
              </w:rPr>
            </w:pPr>
            <w:r>
              <w:rPr>
                <w:rFonts w:hAnsi="仿宋_GB2312" w:eastAsia="仿宋" w:cs="仿宋"/>
                <w:color w:val="FF0000"/>
                <w:kern w:val="0"/>
                <w:sz w:val="28"/>
                <w:szCs w:val="28"/>
                <w:lang w:bidi="ar"/>
              </w:rPr>
              <w:t>0.0</w:t>
            </w:r>
          </w:p>
        </w:tc>
      </w:tr>
      <w:tr w14:paraId="72D329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5" w:type="dxa"/>
            <w:vMerge w:val="continue"/>
            <w:vAlign w:val="center"/>
          </w:tcPr>
          <w:p w14:paraId="35E4711F">
            <w:pPr>
              <w:widowControl/>
              <w:spacing w:line="0" w:lineRule="atLeast"/>
              <w:jc w:val="center"/>
              <w:rPr>
                <w:rFonts w:hAnsi="仿宋_GB2312"/>
                <w:sz w:val="28"/>
                <w:szCs w:val="28"/>
              </w:rPr>
            </w:pPr>
          </w:p>
        </w:tc>
        <w:tc>
          <w:tcPr>
            <w:tcW w:w="1988" w:type="dxa"/>
            <w:vMerge w:val="restart"/>
            <w:vAlign w:val="center"/>
          </w:tcPr>
          <w:p w14:paraId="393B41C2">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预算执行(5)</w:t>
            </w:r>
          </w:p>
        </w:tc>
        <w:tc>
          <w:tcPr>
            <w:tcW w:w="3262" w:type="dxa"/>
            <w:vAlign w:val="center"/>
          </w:tcPr>
          <w:p w14:paraId="2453CD69">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预算执行率</w:t>
            </w:r>
          </w:p>
        </w:tc>
        <w:tc>
          <w:tcPr>
            <w:tcW w:w="1144" w:type="dxa"/>
            <w:vAlign w:val="center"/>
          </w:tcPr>
          <w:p w14:paraId="62033FBE">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2.0</w:t>
            </w:r>
          </w:p>
        </w:tc>
        <w:tc>
          <w:tcPr>
            <w:tcW w:w="1221" w:type="dxa"/>
            <w:vAlign w:val="center"/>
          </w:tcPr>
          <w:p w14:paraId="6909D375">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2.0</w:t>
            </w:r>
          </w:p>
        </w:tc>
      </w:tr>
      <w:tr w14:paraId="7DF031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5" w:type="dxa"/>
            <w:vMerge w:val="continue"/>
            <w:vAlign w:val="center"/>
          </w:tcPr>
          <w:p w14:paraId="155C879C">
            <w:pPr>
              <w:widowControl/>
              <w:spacing w:line="0" w:lineRule="atLeast"/>
              <w:jc w:val="center"/>
              <w:rPr>
                <w:rFonts w:hAnsi="仿宋_GB2312"/>
                <w:sz w:val="28"/>
                <w:szCs w:val="28"/>
              </w:rPr>
            </w:pPr>
          </w:p>
        </w:tc>
        <w:tc>
          <w:tcPr>
            <w:tcW w:w="1988" w:type="dxa"/>
            <w:vMerge w:val="continue"/>
            <w:vAlign w:val="center"/>
          </w:tcPr>
          <w:p w14:paraId="58666979">
            <w:pPr>
              <w:widowControl/>
              <w:spacing w:line="0" w:lineRule="atLeast"/>
              <w:jc w:val="center"/>
              <w:rPr>
                <w:rFonts w:hAnsi="仿宋_GB2312"/>
                <w:sz w:val="28"/>
                <w:szCs w:val="28"/>
              </w:rPr>
            </w:pPr>
          </w:p>
        </w:tc>
        <w:tc>
          <w:tcPr>
            <w:tcW w:w="3262" w:type="dxa"/>
            <w:vAlign w:val="center"/>
          </w:tcPr>
          <w:p w14:paraId="32F1B603">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结转结余率</w:t>
            </w:r>
          </w:p>
        </w:tc>
        <w:tc>
          <w:tcPr>
            <w:tcW w:w="1144" w:type="dxa"/>
            <w:vAlign w:val="center"/>
          </w:tcPr>
          <w:p w14:paraId="70A83629">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1.0</w:t>
            </w:r>
          </w:p>
        </w:tc>
        <w:tc>
          <w:tcPr>
            <w:tcW w:w="1221" w:type="dxa"/>
            <w:vAlign w:val="center"/>
          </w:tcPr>
          <w:p w14:paraId="2DC7844A">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1.0</w:t>
            </w:r>
          </w:p>
        </w:tc>
      </w:tr>
      <w:tr w14:paraId="4539C0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5" w:type="dxa"/>
            <w:vMerge w:val="continue"/>
            <w:vAlign w:val="center"/>
          </w:tcPr>
          <w:p w14:paraId="59F2F8C5">
            <w:pPr>
              <w:widowControl/>
              <w:spacing w:line="0" w:lineRule="atLeast"/>
              <w:jc w:val="center"/>
              <w:rPr>
                <w:rFonts w:hAnsi="仿宋_GB2312"/>
                <w:sz w:val="28"/>
                <w:szCs w:val="28"/>
              </w:rPr>
            </w:pPr>
          </w:p>
        </w:tc>
        <w:tc>
          <w:tcPr>
            <w:tcW w:w="1988" w:type="dxa"/>
            <w:vMerge w:val="continue"/>
            <w:vAlign w:val="center"/>
          </w:tcPr>
          <w:p w14:paraId="350ED09D">
            <w:pPr>
              <w:widowControl/>
              <w:spacing w:line="0" w:lineRule="atLeast"/>
              <w:jc w:val="center"/>
              <w:rPr>
                <w:rFonts w:hAnsi="仿宋_GB2312"/>
                <w:sz w:val="28"/>
                <w:szCs w:val="28"/>
              </w:rPr>
            </w:pPr>
          </w:p>
        </w:tc>
        <w:tc>
          <w:tcPr>
            <w:tcW w:w="3262" w:type="dxa"/>
            <w:vAlign w:val="center"/>
          </w:tcPr>
          <w:p w14:paraId="49E867DB">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政府采购执行率</w:t>
            </w:r>
          </w:p>
        </w:tc>
        <w:tc>
          <w:tcPr>
            <w:tcW w:w="1144" w:type="dxa"/>
            <w:vAlign w:val="center"/>
          </w:tcPr>
          <w:p w14:paraId="7FC26A02">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1.0</w:t>
            </w:r>
          </w:p>
        </w:tc>
        <w:tc>
          <w:tcPr>
            <w:tcW w:w="1221" w:type="dxa"/>
            <w:vAlign w:val="center"/>
          </w:tcPr>
          <w:p w14:paraId="2A18BB09">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1.0</w:t>
            </w:r>
          </w:p>
        </w:tc>
      </w:tr>
      <w:tr w14:paraId="246AE9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5" w:type="dxa"/>
            <w:vMerge w:val="continue"/>
            <w:vAlign w:val="center"/>
          </w:tcPr>
          <w:p w14:paraId="59D727B5">
            <w:pPr>
              <w:widowControl/>
              <w:spacing w:line="0" w:lineRule="atLeast"/>
              <w:jc w:val="center"/>
              <w:rPr>
                <w:rFonts w:hAnsi="仿宋_GB2312"/>
                <w:sz w:val="28"/>
                <w:szCs w:val="28"/>
              </w:rPr>
            </w:pPr>
          </w:p>
        </w:tc>
        <w:tc>
          <w:tcPr>
            <w:tcW w:w="1988" w:type="dxa"/>
            <w:vMerge w:val="continue"/>
            <w:vAlign w:val="center"/>
          </w:tcPr>
          <w:p w14:paraId="0BC2FD10">
            <w:pPr>
              <w:widowControl/>
              <w:spacing w:line="0" w:lineRule="atLeast"/>
              <w:jc w:val="center"/>
              <w:rPr>
                <w:rFonts w:hAnsi="仿宋_GB2312"/>
                <w:sz w:val="28"/>
                <w:szCs w:val="28"/>
              </w:rPr>
            </w:pPr>
          </w:p>
        </w:tc>
        <w:tc>
          <w:tcPr>
            <w:tcW w:w="3262" w:type="dxa"/>
            <w:vAlign w:val="center"/>
          </w:tcPr>
          <w:p w14:paraId="09538DD7">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非税收入预算完成率</w:t>
            </w:r>
          </w:p>
        </w:tc>
        <w:tc>
          <w:tcPr>
            <w:tcW w:w="1144" w:type="dxa"/>
            <w:vAlign w:val="center"/>
          </w:tcPr>
          <w:p w14:paraId="4CBDBCA5">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1.0</w:t>
            </w:r>
          </w:p>
        </w:tc>
        <w:tc>
          <w:tcPr>
            <w:tcW w:w="1221" w:type="dxa"/>
            <w:vAlign w:val="center"/>
          </w:tcPr>
          <w:p w14:paraId="4E52160B">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1.0</w:t>
            </w:r>
          </w:p>
        </w:tc>
      </w:tr>
      <w:tr w14:paraId="401F0B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5" w:type="dxa"/>
            <w:vMerge w:val="continue"/>
            <w:vAlign w:val="center"/>
          </w:tcPr>
          <w:p w14:paraId="77D098F4">
            <w:pPr>
              <w:widowControl/>
              <w:spacing w:line="0" w:lineRule="atLeast"/>
              <w:jc w:val="center"/>
              <w:rPr>
                <w:rFonts w:hAnsi="仿宋_GB2312"/>
                <w:sz w:val="28"/>
                <w:szCs w:val="28"/>
              </w:rPr>
            </w:pPr>
          </w:p>
        </w:tc>
        <w:tc>
          <w:tcPr>
            <w:tcW w:w="1988" w:type="dxa"/>
            <w:vMerge w:val="restart"/>
            <w:vAlign w:val="center"/>
          </w:tcPr>
          <w:p w14:paraId="1DBF488E">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绩效管理(5)</w:t>
            </w:r>
          </w:p>
        </w:tc>
        <w:tc>
          <w:tcPr>
            <w:tcW w:w="3262" w:type="dxa"/>
            <w:vAlign w:val="center"/>
          </w:tcPr>
          <w:p w14:paraId="2398C2DF">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事前绩效评估完成率</w:t>
            </w:r>
          </w:p>
        </w:tc>
        <w:tc>
          <w:tcPr>
            <w:tcW w:w="1144" w:type="dxa"/>
            <w:vAlign w:val="center"/>
          </w:tcPr>
          <w:p w14:paraId="5CA142C7">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1.0</w:t>
            </w:r>
          </w:p>
        </w:tc>
        <w:tc>
          <w:tcPr>
            <w:tcW w:w="1221" w:type="dxa"/>
            <w:vAlign w:val="center"/>
          </w:tcPr>
          <w:p w14:paraId="5F5CEC48">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1.0</w:t>
            </w:r>
          </w:p>
        </w:tc>
      </w:tr>
      <w:tr w14:paraId="193570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5" w:type="dxa"/>
            <w:vMerge w:val="continue"/>
            <w:vAlign w:val="center"/>
          </w:tcPr>
          <w:p w14:paraId="6EA200D5">
            <w:pPr>
              <w:widowControl/>
              <w:spacing w:line="0" w:lineRule="atLeast"/>
              <w:jc w:val="center"/>
              <w:rPr>
                <w:rFonts w:hAnsi="仿宋_GB2312"/>
                <w:sz w:val="28"/>
                <w:szCs w:val="28"/>
              </w:rPr>
            </w:pPr>
          </w:p>
        </w:tc>
        <w:tc>
          <w:tcPr>
            <w:tcW w:w="1988" w:type="dxa"/>
            <w:vMerge w:val="continue"/>
            <w:vAlign w:val="center"/>
          </w:tcPr>
          <w:p w14:paraId="1E179CE7">
            <w:pPr>
              <w:widowControl/>
              <w:spacing w:line="0" w:lineRule="atLeast"/>
              <w:jc w:val="center"/>
              <w:rPr>
                <w:rFonts w:hAnsi="仿宋_GB2312"/>
                <w:sz w:val="28"/>
                <w:szCs w:val="28"/>
              </w:rPr>
            </w:pPr>
          </w:p>
        </w:tc>
        <w:tc>
          <w:tcPr>
            <w:tcW w:w="3262" w:type="dxa"/>
            <w:vAlign w:val="center"/>
          </w:tcPr>
          <w:p w14:paraId="68FE3F03">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绩效目标合理性</w:t>
            </w:r>
          </w:p>
        </w:tc>
        <w:tc>
          <w:tcPr>
            <w:tcW w:w="1144" w:type="dxa"/>
            <w:vAlign w:val="center"/>
          </w:tcPr>
          <w:p w14:paraId="7290E68B">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1.0</w:t>
            </w:r>
          </w:p>
        </w:tc>
        <w:tc>
          <w:tcPr>
            <w:tcW w:w="1221" w:type="dxa"/>
            <w:vAlign w:val="center"/>
          </w:tcPr>
          <w:p w14:paraId="2F7DA427">
            <w:pPr>
              <w:widowControl/>
              <w:spacing w:line="0" w:lineRule="atLeast"/>
              <w:jc w:val="center"/>
              <w:textAlignment w:val="center"/>
              <w:rPr>
                <w:rFonts w:hAnsi="仿宋_GB2312"/>
                <w:sz w:val="28"/>
                <w:szCs w:val="28"/>
                <w:highlight w:val="cyan"/>
              </w:rPr>
            </w:pPr>
            <w:r>
              <w:rPr>
                <w:rFonts w:hint="eastAsia" w:hAnsi="仿宋_GB2312" w:eastAsia="仿宋" w:cs="仿宋"/>
                <w:color w:val="FF0000"/>
                <w:kern w:val="0"/>
                <w:sz w:val="28"/>
                <w:szCs w:val="28"/>
                <w:lang w:bidi="ar"/>
              </w:rPr>
              <w:t>0.5</w:t>
            </w:r>
          </w:p>
        </w:tc>
      </w:tr>
      <w:tr w14:paraId="547A4E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5" w:type="dxa"/>
            <w:vMerge w:val="continue"/>
            <w:vAlign w:val="center"/>
          </w:tcPr>
          <w:p w14:paraId="5B1B9300">
            <w:pPr>
              <w:widowControl/>
              <w:spacing w:line="0" w:lineRule="atLeast"/>
              <w:jc w:val="center"/>
              <w:rPr>
                <w:rFonts w:hAnsi="仿宋_GB2312"/>
                <w:sz w:val="28"/>
                <w:szCs w:val="28"/>
              </w:rPr>
            </w:pPr>
          </w:p>
        </w:tc>
        <w:tc>
          <w:tcPr>
            <w:tcW w:w="1988" w:type="dxa"/>
            <w:vMerge w:val="continue"/>
            <w:vAlign w:val="center"/>
          </w:tcPr>
          <w:p w14:paraId="22B395EB">
            <w:pPr>
              <w:widowControl/>
              <w:spacing w:line="0" w:lineRule="atLeast"/>
              <w:jc w:val="center"/>
              <w:rPr>
                <w:rFonts w:hAnsi="仿宋_GB2312"/>
                <w:sz w:val="28"/>
                <w:szCs w:val="28"/>
              </w:rPr>
            </w:pPr>
          </w:p>
        </w:tc>
        <w:tc>
          <w:tcPr>
            <w:tcW w:w="3262" w:type="dxa"/>
            <w:vAlign w:val="center"/>
          </w:tcPr>
          <w:p w14:paraId="7929B6A9">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绩效监控开展率</w:t>
            </w:r>
          </w:p>
        </w:tc>
        <w:tc>
          <w:tcPr>
            <w:tcW w:w="1144" w:type="dxa"/>
            <w:vAlign w:val="center"/>
          </w:tcPr>
          <w:p w14:paraId="1FE8DD61">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1.0</w:t>
            </w:r>
          </w:p>
        </w:tc>
        <w:tc>
          <w:tcPr>
            <w:tcW w:w="1221" w:type="dxa"/>
            <w:vAlign w:val="center"/>
          </w:tcPr>
          <w:p w14:paraId="270939B4">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1.0</w:t>
            </w:r>
          </w:p>
        </w:tc>
      </w:tr>
      <w:tr w14:paraId="31C6FF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5" w:type="dxa"/>
            <w:vMerge w:val="continue"/>
            <w:vAlign w:val="center"/>
          </w:tcPr>
          <w:p w14:paraId="375CC5C9">
            <w:pPr>
              <w:widowControl/>
              <w:spacing w:line="0" w:lineRule="atLeast"/>
              <w:jc w:val="center"/>
              <w:rPr>
                <w:rFonts w:hAnsi="仿宋_GB2312"/>
                <w:sz w:val="28"/>
                <w:szCs w:val="28"/>
              </w:rPr>
            </w:pPr>
          </w:p>
        </w:tc>
        <w:tc>
          <w:tcPr>
            <w:tcW w:w="1988" w:type="dxa"/>
            <w:vMerge w:val="continue"/>
            <w:vAlign w:val="center"/>
          </w:tcPr>
          <w:p w14:paraId="596086E8">
            <w:pPr>
              <w:widowControl/>
              <w:spacing w:line="0" w:lineRule="atLeast"/>
              <w:jc w:val="center"/>
              <w:rPr>
                <w:rFonts w:hAnsi="仿宋_GB2312"/>
                <w:sz w:val="28"/>
                <w:szCs w:val="28"/>
              </w:rPr>
            </w:pPr>
          </w:p>
        </w:tc>
        <w:tc>
          <w:tcPr>
            <w:tcW w:w="3262" w:type="dxa"/>
            <w:vAlign w:val="center"/>
          </w:tcPr>
          <w:p w14:paraId="163E1412">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绩效评价覆盖率</w:t>
            </w:r>
          </w:p>
        </w:tc>
        <w:tc>
          <w:tcPr>
            <w:tcW w:w="1144" w:type="dxa"/>
            <w:vAlign w:val="center"/>
          </w:tcPr>
          <w:p w14:paraId="689E14DA">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1.0</w:t>
            </w:r>
          </w:p>
        </w:tc>
        <w:tc>
          <w:tcPr>
            <w:tcW w:w="1221" w:type="dxa"/>
            <w:vAlign w:val="center"/>
          </w:tcPr>
          <w:p w14:paraId="57E625D7">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1.0</w:t>
            </w:r>
          </w:p>
        </w:tc>
      </w:tr>
      <w:tr w14:paraId="081618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5" w:type="dxa"/>
            <w:vMerge w:val="continue"/>
            <w:vAlign w:val="center"/>
          </w:tcPr>
          <w:p w14:paraId="2E16B537">
            <w:pPr>
              <w:widowControl/>
              <w:spacing w:line="0" w:lineRule="atLeast"/>
              <w:jc w:val="center"/>
              <w:rPr>
                <w:rFonts w:hAnsi="仿宋_GB2312"/>
                <w:sz w:val="28"/>
                <w:szCs w:val="28"/>
              </w:rPr>
            </w:pPr>
          </w:p>
        </w:tc>
        <w:tc>
          <w:tcPr>
            <w:tcW w:w="1988" w:type="dxa"/>
            <w:vMerge w:val="continue"/>
            <w:vAlign w:val="center"/>
          </w:tcPr>
          <w:p w14:paraId="38E78C34">
            <w:pPr>
              <w:widowControl/>
              <w:spacing w:line="0" w:lineRule="atLeast"/>
              <w:jc w:val="center"/>
              <w:rPr>
                <w:rFonts w:hAnsi="仿宋_GB2312"/>
                <w:sz w:val="28"/>
                <w:szCs w:val="28"/>
              </w:rPr>
            </w:pPr>
          </w:p>
        </w:tc>
        <w:tc>
          <w:tcPr>
            <w:tcW w:w="3262" w:type="dxa"/>
            <w:vAlign w:val="center"/>
          </w:tcPr>
          <w:p w14:paraId="75F713C7">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评价结果应用率</w:t>
            </w:r>
          </w:p>
        </w:tc>
        <w:tc>
          <w:tcPr>
            <w:tcW w:w="1144" w:type="dxa"/>
            <w:vAlign w:val="center"/>
          </w:tcPr>
          <w:p w14:paraId="4D5A7A3E">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1.0</w:t>
            </w:r>
          </w:p>
        </w:tc>
        <w:tc>
          <w:tcPr>
            <w:tcW w:w="1221" w:type="dxa"/>
            <w:vAlign w:val="center"/>
          </w:tcPr>
          <w:p w14:paraId="0DE97A70">
            <w:pPr>
              <w:widowControl/>
              <w:spacing w:line="0" w:lineRule="atLeast"/>
              <w:jc w:val="center"/>
              <w:textAlignment w:val="center"/>
              <w:rPr>
                <w:rFonts w:hAnsi="仿宋_GB2312"/>
                <w:sz w:val="28"/>
                <w:szCs w:val="28"/>
              </w:rPr>
            </w:pPr>
            <w:r>
              <w:rPr>
                <w:rFonts w:hAnsi="仿宋_GB2312" w:eastAsia="仿宋" w:cs="仿宋"/>
                <w:color w:val="FF0000"/>
                <w:kern w:val="0"/>
                <w:sz w:val="28"/>
                <w:szCs w:val="28"/>
                <w:lang w:bidi="ar"/>
              </w:rPr>
              <w:t>0.5</w:t>
            </w:r>
          </w:p>
        </w:tc>
      </w:tr>
      <w:tr w14:paraId="67F9BC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5" w:type="dxa"/>
            <w:vMerge w:val="continue"/>
            <w:vAlign w:val="center"/>
          </w:tcPr>
          <w:p w14:paraId="39C3F35A">
            <w:pPr>
              <w:widowControl/>
              <w:spacing w:line="0" w:lineRule="atLeast"/>
              <w:jc w:val="center"/>
              <w:rPr>
                <w:rFonts w:hAnsi="仿宋_GB2312"/>
                <w:sz w:val="28"/>
                <w:szCs w:val="28"/>
              </w:rPr>
            </w:pPr>
          </w:p>
        </w:tc>
        <w:tc>
          <w:tcPr>
            <w:tcW w:w="1988" w:type="dxa"/>
            <w:vMerge w:val="restart"/>
            <w:vAlign w:val="center"/>
          </w:tcPr>
          <w:p w14:paraId="0DD2D35C">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资产管理(2）</w:t>
            </w:r>
          </w:p>
        </w:tc>
        <w:tc>
          <w:tcPr>
            <w:tcW w:w="3262" w:type="dxa"/>
            <w:vAlign w:val="center"/>
          </w:tcPr>
          <w:p w14:paraId="52E786C7">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资产管理制度健全性</w:t>
            </w:r>
          </w:p>
        </w:tc>
        <w:tc>
          <w:tcPr>
            <w:tcW w:w="1144" w:type="dxa"/>
            <w:vAlign w:val="center"/>
          </w:tcPr>
          <w:p w14:paraId="2F0A766E">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1.0</w:t>
            </w:r>
          </w:p>
        </w:tc>
        <w:tc>
          <w:tcPr>
            <w:tcW w:w="1221" w:type="dxa"/>
            <w:vAlign w:val="center"/>
          </w:tcPr>
          <w:p w14:paraId="25829AA0">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1.0</w:t>
            </w:r>
          </w:p>
        </w:tc>
      </w:tr>
      <w:tr w14:paraId="407A33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5" w:type="dxa"/>
            <w:vMerge w:val="continue"/>
            <w:vAlign w:val="center"/>
          </w:tcPr>
          <w:p w14:paraId="724D3382">
            <w:pPr>
              <w:widowControl/>
              <w:spacing w:line="0" w:lineRule="atLeast"/>
              <w:jc w:val="center"/>
              <w:rPr>
                <w:rFonts w:hAnsi="仿宋_GB2312"/>
                <w:sz w:val="28"/>
                <w:szCs w:val="28"/>
              </w:rPr>
            </w:pPr>
          </w:p>
        </w:tc>
        <w:tc>
          <w:tcPr>
            <w:tcW w:w="1988" w:type="dxa"/>
            <w:vMerge w:val="continue"/>
            <w:vAlign w:val="center"/>
          </w:tcPr>
          <w:p w14:paraId="1F9613C7">
            <w:pPr>
              <w:widowControl/>
              <w:spacing w:line="0" w:lineRule="atLeast"/>
              <w:jc w:val="center"/>
              <w:rPr>
                <w:rFonts w:hAnsi="仿宋_GB2312"/>
                <w:sz w:val="28"/>
                <w:szCs w:val="28"/>
              </w:rPr>
            </w:pPr>
          </w:p>
        </w:tc>
        <w:tc>
          <w:tcPr>
            <w:tcW w:w="3262" w:type="dxa"/>
            <w:vAlign w:val="center"/>
          </w:tcPr>
          <w:p w14:paraId="4854D2B0">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资产管理规范性</w:t>
            </w:r>
          </w:p>
        </w:tc>
        <w:tc>
          <w:tcPr>
            <w:tcW w:w="1144" w:type="dxa"/>
            <w:vAlign w:val="center"/>
          </w:tcPr>
          <w:p w14:paraId="5BE7C29D">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1.0</w:t>
            </w:r>
          </w:p>
        </w:tc>
        <w:tc>
          <w:tcPr>
            <w:tcW w:w="1221" w:type="dxa"/>
            <w:vAlign w:val="center"/>
          </w:tcPr>
          <w:p w14:paraId="15F42035">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1.0</w:t>
            </w:r>
          </w:p>
        </w:tc>
      </w:tr>
      <w:tr w14:paraId="5EFE64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5" w:type="dxa"/>
            <w:vMerge w:val="continue"/>
            <w:vAlign w:val="center"/>
          </w:tcPr>
          <w:p w14:paraId="03FF5029">
            <w:pPr>
              <w:widowControl/>
              <w:spacing w:line="0" w:lineRule="atLeast"/>
              <w:jc w:val="center"/>
              <w:rPr>
                <w:rFonts w:hAnsi="仿宋_GB2312"/>
                <w:sz w:val="28"/>
                <w:szCs w:val="28"/>
              </w:rPr>
            </w:pPr>
          </w:p>
        </w:tc>
        <w:tc>
          <w:tcPr>
            <w:tcW w:w="1988" w:type="dxa"/>
            <w:vMerge w:val="restart"/>
            <w:vAlign w:val="center"/>
          </w:tcPr>
          <w:p w14:paraId="46B782C9">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财务管理(3)</w:t>
            </w:r>
          </w:p>
        </w:tc>
        <w:tc>
          <w:tcPr>
            <w:tcW w:w="3262" w:type="dxa"/>
            <w:vAlign w:val="center"/>
          </w:tcPr>
          <w:p w14:paraId="30C24047">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财务管理制度健全性</w:t>
            </w:r>
          </w:p>
        </w:tc>
        <w:tc>
          <w:tcPr>
            <w:tcW w:w="1144" w:type="dxa"/>
            <w:vAlign w:val="center"/>
          </w:tcPr>
          <w:p w14:paraId="2F4140E0">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1.0</w:t>
            </w:r>
          </w:p>
        </w:tc>
        <w:tc>
          <w:tcPr>
            <w:tcW w:w="1221" w:type="dxa"/>
            <w:vAlign w:val="center"/>
          </w:tcPr>
          <w:p w14:paraId="2EEB7849">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1.0</w:t>
            </w:r>
          </w:p>
        </w:tc>
      </w:tr>
      <w:tr w14:paraId="414213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5" w:type="dxa"/>
            <w:vMerge w:val="continue"/>
            <w:vAlign w:val="center"/>
          </w:tcPr>
          <w:p w14:paraId="6206EBD0">
            <w:pPr>
              <w:widowControl/>
              <w:spacing w:line="0" w:lineRule="atLeast"/>
              <w:jc w:val="center"/>
              <w:rPr>
                <w:rFonts w:hAnsi="仿宋_GB2312"/>
                <w:sz w:val="28"/>
                <w:szCs w:val="28"/>
              </w:rPr>
            </w:pPr>
          </w:p>
        </w:tc>
        <w:tc>
          <w:tcPr>
            <w:tcW w:w="1988" w:type="dxa"/>
            <w:vMerge w:val="continue"/>
            <w:vAlign w:val="center"/>
          </w:tcPr>
          <w:p w14:paraId="7EF547F9">
            <w:pPr>
              <w:widowControl/>
              <w:spacing w:line="0" w:lineRule="atLeast"/>
              <w:jc w:val="center"/>
              <w:rPr>
                <w:rFonts w:hAnsi="仿宋_GB2312"/>
                <w:sz w:val="28"/>
                <w:szCs w:val="28"/>
              </w:rPr>
            </w:pPr>
          </w:p>
        </w:tc>
        <w:tc>
          <w:tcPr>
            <w:tcW w:w="3262" w:type="dxa"/>
            <w:vAlign w:val="center"/>
          </w:tcPr>
          <w:p w14:paraId="1E1E2E3F">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会计核算规范性</w:t>
            </w:r>
          </w:p>
        </w:tc>
        <w:tc>
          <w:tcPr>
            <w:tcW w:w="1144" w:type="dxa"/>
            <w:vAlign w:val="center"/>
          </w:tcPr>
          <w:p w14:paraId="07543C1D">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1.0</w:t>
            </w:r>
          </w:p>
        </w:tc>
        <w:tc>
          <w:tcPr>
            <w:tcW w:w="1221" w:type="dxa"/>
            <w:vAlign w:val="center"/>
          </w:tcPr>
          <w:p w14:paraId="77AE0947">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1.0</w:t>
            </w:r>
          </w:p>
        </w:tc>
      </w:tr>
      <w:tr w14:paraId="64A2B7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5" w:type="dxa"/>
            <w:vMerge w:val="continue"/>
            <w:vAlign w:val="center"/>
          </w:tcPr>
          <w:p w14:paraId="6F91B32C">
            <w:pPr>
              <w:widowControl/>
              <w:spacing w:line="0" w:lineRule="atLeast"/>
              <w:jc w:val="center"/>
              <w:rPr>
                <w:rFonts w:hAnsi="仿宋_GB2312"/>
                <w:sz w:val="28"/>
                <w:szCs w:val="28"/>
              </w:rPr>
            </w:pPr>
          </w:p>
        </w:tc>
        <w:tc>
          <w:tcPr>
            <w:tcW w:w="1988" w:type="dxa"/>
            <w:vMerge w:val="continue"/>
            <w:vAlign w:val="center"/>
          </w:tcPr>
          <w:p w14:paraId="1AF1E611">
            <w:pPr>
              <w:widowControl/>
              <w:spacing w:line="0" w:lineRule="atLeast"/>
              <w:jc w:val="center"/>
              <w:rPr>
                <w:rFonts w:hAnsi="仿宋_GB2312"/>
                <w:sz w:val="28"/>
                <w:szCs w:val="28"/>
              </w:rPr>
            </w:pPr>
          </w:p>
        </w:tc>
        <w:tc>
          <w:tcPr>
            <w:tcW w:w="3262" w:type="dxa"/>
            <w:vAlign w:val="center"/>
          </w:tcPr>
          <w:p w14:paraId="188357D3">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资金使用合规性</w:t>
            </w:r>
          </w:p>
        </w:tc>
        <w:tc>
          <w:tcPr>
            <w:tcW w:w="1144" w:type="dxa"/>
            <w:vAlign w:val="center"/>
          </w:tcPr>
          <w:p w14:paraId="0D26CFB0">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1.0</w:t>
            </w:r>
          </w:p>
        </w:tc>
        <w:tc>
          <w:tcPr>
            <w:tcW w:w="1221" w:type="dxa"/>
            <w:vAlign w:val="center"/>
          </w:tcPr>
          <w:p w14:paraId="6B30BB61">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1.0</w:t>
            </w:r>
          </w:p>
        </w:tc>
      </w:tr>
      <w:tr w14:paraId="7CD5E5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5" w:type="dxa"/>
            <w:vMerge w:val="restart"/>
            <w:vAlign w:val="center"/>
          </w:tcPr>
          <w:p w14:paraId="362CA443">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履职效能(45)</w:t>
            </w:r>
          </w:p>
        </w:tc>
        <w:tc>
          <w:tcPr>
            <w:tcW w:w="1988" w:type="dxa"/>
            <w:vMerge w:val="restart"/>
            <w:vAlign w:val="center"/>
          </w:tcPr>
          <w:p w14:paraId="3052862C">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实际完成率（20）</w:t>
            </w:r>
          </w:p>
        </w:tc>
        <w:tc>
          <w:tcPr>
            <w:tcW w:w="3262" w:type="dxa"/>
            <w:vAlign w:val="center"/>
          </w:tcPr>
          <w:p w14:paraId="3009743D">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困难精神病患者服药人数</w:t>
            </w:r>
          </w:p>
        </w:tc>
        <w:tc>
          <w:tcPr>
            <w:tcW w:w="1144" w:type="dxa"/>
            <w:vAlign w:val="center"/>
          </w:tcPr>
          <w:p w14:paraId="4BC83BAE">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2.5</w:t>
            </w:r>
          </w:p>
        </w:tc>
        <w:tc>
          <w:tcPr>
            <w:tcW w:w="1221" w:type="dxa"/>
            <w:vAlign w:val="center"/>
          </w:tcPr>
          <w:p w14:paraId="74E9DD3E">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2.5</w:t>
            </w:r>
          </w:p>
        </w:tc>
      </w:tr>
      <w:tr w14:paraId="30ACB7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5" w:type="dxa"/>
            <w:vMerge w:val="continue"/>
            <w:vAlign w:val="center"/>
          </w:tcPr>
          <w:p w14:paraId="26F09E78">
            <w:pPr>
              <w:widowControl/>
              <w:spacing w:line="0" w:lineRule="atLeast"/>
              <w:jc w:val="center"/>
              <w:rPr>
                <w:rFonts w:hAnsi="仿宋_GB2312"/>
                <w:sz w:val="28"/>
                <w:szCs w:val="28"/>
              </w:rPr>
            </w:pPr>
          </w:p>
        </w:tc>
        <w:tc>
          <w:tcPr>
            <w:tcW w:w="1988" w:type="dxa"/>
            <w:vMerge w:val="continue"/>
            <w:vAlign w:val="center"/>
          </w:tcPr>
          <w:p w14:paraId="5E1583BE">
            <w:pPr>
              <w:widowControl/>
              <w:spacing w:line="0" w:lineRule="atLeast"/>
              <w:jc w:val="center"/>
              <w:rPr>
                <w:rFonts w:hAnsi="仿宋_GB2312"/>
                <w:sz w:val="28"/>
                <w:szCs w:val="28"/>
              </w:rPr>
            </w:pPr>
          </w:p>
        </w:tc>
        <w:tc>
          <w:tcPr>
            <w:tcW w:w="3262" w:type="dxa"/>
            <w:vAlign w:val="center"/>
          </w:tcPr>
          <w:p w14:paraId="34AA2702">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阳光家园计划一智力、精神和重度肢体残疾人托养服务补助人数</w:t>
            </w:r>
          </w:p>
        </w:tc>
        <w:tc>
          <w:tcPr>
            <w:tcW w:w="1144" w:type="dxa"/>
            <w:vAlign w:val="center"/>
          </w:tcPr>
          <w:p w14:paraId="1458434A">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2.5</w:t>
            </w:r>
          </w:p>
        </w:tc>
        <w:tc>
          <w:tcPr>
            <w:tcW w:w="1221" w:type="dxa"/>
            <w:vAlign w:val="center"/>
          </w:tcPr>
          <w:p w14:paraId="4BE4B16B">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2.5</w:t>
            </w:r>
          </w:p>
        </w:tc>
      </w:tr>
      <w:tr w14:paraId="63B3F4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5" w:type="dxa"/>
            <w:vMerge w:val="continue"/>
            <w:vAlign w:val="center"/>
          </w:tcPr>
          <w:p w14:paraId="1F9CD215">
            <w:pPr>
              <w:widowControl/>
              <w:spacing w:line="0" w:lineRule="atLeast"/>
              <w:jc w:val="center"/>
              <w:rPr>
                <w:rFonts w:hAnsi="仿宋_GB2312"/>
                <w:sz w:val="28"/>
                <w:szCs w:val="28"/>
              </w:rPr>
            </w:pPr>
          </w:p>
        </w:tc>
        <w:tc>
          <w:tcPr>
            <w:tcW w:w="1988" w:type="dxa"/>
            <w:vMerge w:val="continue"/>
            <w:vAlign w:val="center"/>
          </w:tcPr>
          <w:p w14:paraId="081DCC43">
            <w:pPr>
              <w:widowControl/>
              <w:spacing w:line="0" w:lineRule="atLeast"/>
              <w:jc w:val="center"/>
              <w:rPr>
                <w:rFonts w:hAnsi="仿宋_GB2312"/>
                <w:sz w:val="28"/>
                <w:szCs w:val="28"/>
              </w:rPr>
            </w:pPr>
          </w:p>
        </w:tc>
        <w:tc>
          <w:tcPr>
            <w:tcW w:w="3262" w:type="dxa"/>
            <w:vAlign w:val="center"/>
          </w:tcPr>
          <w:p w14:paraId="26BCAA56">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发放残疾人机动轮椅车燃油补贴金额</w:t>
            </w:r>
          </w:p>
        </w:tc>
        <w:tc>
          <w:tcPr>
            <w:tcW w:w="1144" w:type="dxa"/>
            <w:vAlign w:val="center"/>
          </w:tcPr>
          <w:p w14:paraId="130C8F84">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2.5</w:t>
            </w:r>
          </w:p>
        </w:tc>
        <w:tc>
          <w:tcPr>
            <w:tcW w:w="1221" w:type="dxa"/>
            <w:vAlign w:val="center"/>
          </w:tcPr>
          <w:p w14:paraId="53521553">
            <w:pPr>
              <w:widowControl/>
              <w:spacing w:line="0" w:lineRule="atLeast"/>
              <w:jc w:val="center"/>
              <w:textAlignment w:val="center"/>
              <w:rPr>
                <w:rFonts w:hAnsi="仿宋_GB2312"/>
                <w:sz w:val="28"/>
                <w:szCs w:val="28"/>
              </w:rPr>
            </w:pPr>
            <w:r>
              <w:rPr>
                <w:rFonts w:hAnsi="仿宋_GB2312" w:eastAsia="仿宋" w:cs="仿宋"/>
                <w:color w:val="FF0000"/>
                <w:kern w:val="0"/>
                <w:sz w:val="28"/>
                <w:szCs w:val="28"/>
                <w:lang w:bidi="ar"/>
              </w:rPr>
              <w:t>0.0</w:t>
            </w:r>
          </w:p>
        </w:tc>
      </w:tr>
      <w:tr w14:paraId="534309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5" w:type="dxa"/>
            <w:vMerge w:val="continue"/>
            <w:vAlign w:val="center"/>
          </w:tcPr>
          <w:p w14:paraId="30297D5C">
            <w:pPr>
              <w:widowControl/>
              <w:spacing w:line="0" w:lineRule="atLeast"/>
              <w:jc w:val="center"/>
              <w:rPr>
                <w:rFonts w:hAnsi="仿宋_GB2312"/>
                <w:sz w:val="28"/>
                <w:szCs w:val="28"/>
              </w:rPr>
            </w:pPr>
          </w:p>
        </w:tc>
        <w:tc>
          <w:tcPr>
            <w:tcW w:w="1988" w:type="dxa"/>
            <w:vMerge w:val="continue"/>
            <w:vAlign w:val="center"/>
          </w:tcPr>
          <w:p w14:paraId="728D85A1">
            <w:pPr>
              <w:widowControl/>
              <w:spacing w:line="0" w:lineRule="atLeast"/>
              <w:jc w:val="center"/>
              <w:rPr>
                <w:rFonts w:hAnsi="仿宋_GB2312"/>
                <w:sz w:val="28"/>
                <w:szCs w:val="28"/>
              </w:rPr>
            </w:pPr>
          </w:p>
        </w:tc>
        <w:tc>
          <w:tcPr>
            <w:tcW w:w="3262" w:type="dxa"/>
            <w:vAlign w:val="center"/>
          </w:tcPr>
          <w:p w14:paraId="7797198D">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贫困重度残疾人家庭无障碍改造户数</w:t>
            </w:r>
          </w:p>
        </w:tc>
        <w:tc>
          <w:tcPr>
            <w:tcW w:w="1144" w:type="dxa"/>
            <w:vAlign w:val="center"/>
          </w:tcPr>
          <w:p w14:paraId="05EFB8BC">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2.5</w:t>
            </w:r>
          </w:p>
        </w:tc>
        <w:tc>
          <w:tcPr>
            <w:tcW w:w="1221" w:type="dxa"/>
            <w:vAlign w:val="center"/>
          </w:tcPr>
          <w:p w14:paraId="27F8AA2D">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2.5</w:t>
            </w:r>
          </w:p>
        </w:tc>
      </w:tr>
      <w:tr w14:paraId="2DDD68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5" w:type="dxa"/>
            <w:vMerge w:val="continue"/>
            <w:vAlign w:val="center"/>
          </w:tcPr>
          <w:p w14:paraId="00ABC2B8">
            <w:pPr>
              <w:widowControl/>
              <w:spacing w:line="0" w:lineRule="atLeast"/>
              <w:jc w:val="center"/>
              <w:rPr>
                <w:rFonts w:hAnsi="仿宋_GB2312"/>
                <w:sz w:val="28"/>
                <w:szCs w:val="28"/>
              </w:rPr>
            </w:pPr>
          </w:p>
        </w:tc>
        <w:tc>
          <w:tcPr>
            <w:tcW w:w="1988" w:type="dxa"/>
            <w:vMerge w:val="continue"/>
            <w:vAlign w:val="center"/>
          </w:tcPr>
          <w:p w14:paraId="5D92D0EE">
            <w:pPr>
              <w:widowControl/>
              <w:spacing w:line="0" w:lineRule="atLeast"/>
              <w:jc w:val="center"/>
              <w:rPr>
                <w:rFonts w:hAnsi="仿宋_GB2312"/>
                <w:sz w:val="28"/>
                <w:szCs w:val="28"/>
              </w:rPr>
            </w:pPr>
          </w:p>
        </w:tc>
        <w:tc>
          <w:tcPr>
            <w:tcW w:w="3262" w:type="dxa"/>
            <w:vAlign w:val="center"/>
          </w:tcPr>
          <w:p w14:paraId="7C1D1688">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儿童康复救助人数</w:t>
            </w:r>
          </w:p>
        </w:tc>
        <w:tc>
          <w:tcPr>
            <w:tcW w:w="1144" w:type="dxa"/>
            <w:vAlign w:val="center"/>
          </w:tcPr>
          <w:p w14:paraId="4327F1B1">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2.5</w:t>
            </w:r>
          </w:p>
        </w:tc>
        <w:tc>
          <w:tcPr>
            <w:tcW w:w="1221" w:type="dxa"/>
            <w:vAlign w:val="center"/>
          </w:tcPr>
          <w:p w14:paraId="2C5CBE6F">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2.5</w:t>
            </w:r>
          </w:p>
        </w:tc>
      </w:tr>
      <w:tr w14:paraId="15A877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5" w:type="dxa"/>
            <w:vMerge w:val="continue"/>
            <w:vAlign w:val="center"/>
          </w:tcPr>
          <w:p w14:paraId="3D610AB2">
            <w:pPr>
              <w:widowControl/>
              <w:spacing w:line="0" w:lineRule="atLeast"/>
              <w:jc w:val="center"/>
              <w:rPr>
                <w:rFonts w:hAnsi="仿宋_GB2312"/>
                <w:sz w:val="28"/>
                <w:szCs w:val="28"/>
              </w:rPr>
            </w:pPr>
          </w:p>
        </w:tc>
        <w:tc>
          <w:tcPr>
            <w:tcW w:w="1988" w:type="dxa"/>
            <w:vMerge w:val="continue"/>
            <w:vAlign w:val="center"/>
          </w:tcPr>
          <w:p w14:paraId="0B9E2649">
            <w:pPr>
              <w:widowControl/>
              <w:spacing w:line="0" w:lineRule="atLeast"/>
              <w:jc w:val="center"/>
              <w:rPr>
                <w:rFonts w:hAnsi="仿宋_GB2312"/>
                <w:sz w:val="28"/>
                <w:szCs w:val="28"/>
              </w:rPr>
            </w:pPr>
          </w:p>
        </w:tc>
        <w:tc>
          <w:tcPr>
            <w:tcW w:w="3262" w:type="dxa"/>
            <w:vAlign w:val="center"/>
          </w:tcPr>
          <w:p w14:paraId="02849B0C">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残疾人文化进家庭“五个一”完成金额</w:t>
            </w:r>
          </w:p>
        </w:tc>
        <w:tc>
          <w:tcPr>
            <w:tcW w:w="1144" w:type="dxa"/>
            <w:vAlign w:val="center"/>
          </w:tcPr>
          <w:p w14:paraId="2DF672AB">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2.5</w:t>
            </w:r>
          </w:p>
        </w:tc>
        <w:tc>
          <w:tcPr>
            <w:tcW w:w="1221" w:type="dxa"/>
            <w:vAlign w:val="center"/>
          </w:tcPr>
          <w:p w14:paraId="1DD8E002">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2.5</w:t>
            </w:r>
          </w:p>
        </w:tc>
      </w:tr>
      <w:tr w14:paraId="1DCE3E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5" w:type="dxa"/>
            <w:vMerge w:val="continue"/>
            <w:vAlign w:val="center"/>
          </w:tcPr>
          <w:p w14:paraId="511DDA00">
            <w:pPr>
              <w:widowControl/>
              <w:spacing w:line="0" w:lineRule="atLeast"/>
              <w:jc w:val="center"/>
              <w:rPr>
                <w:rFonts w:hAnsi="仿宋_GB2312"/>
                <w:sz w:val="28"/>
                <w:szCs w:val="28"/>
              </w:rPr>
            </w:pPr>
          </w:p>
        </w:tc>
        <w:tc>
          <w:tcPr>
            <w:tcW w:w="1988" w:type="dxa"/>
            <w:vMerge w:val="continue"/>
            <w:vAlign w:val="center"/>
          </w:tcPr>
          <w:p w14:paraId="7090CD80">
            <w:pPr>
              <w:widowControl/>
              <w:spacing w:line="0" w:lineRule="atLeast"/>
              <w:jc w:val="center"/>
              <w:rPr>
                <w:rFonts w:hAnsi="仿宋_GB2312"/>
                <w:sz w:val="28"/>
                <w:szCs w:val="28"/>
              </w:rPr>
            </w:pPr>
          </w:p>
        </w:tc>
        <w:tc>
          <w:tcPr>
            <w:tcW w:w="3262" w:type="dxa"/>
            <w:vAlign w:val="center"/>
          </w:tcPr>
          <w:p w14:paraId="6BD3CD9B">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残疾人就业培训完成情况</w:t>
            </w:r>
          </w:p>
        </w:tc>
        <w:tc>
          <w:tcPr>
            <w:tcW w:w="1144" w:type="dxa"/>
            <w:vAlign w:val="center"/>
          </w:tcPr>
          <w:p w14:paraId="29FC7E39">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2.5</w:t>
            </w:r>
          </w:p>
        </w:tc>
        <w:tc>
          <w:tcPr>
            <w:tcW w:w="1221" w:type="dxa"/>
            <w:vAlign w:val="center"/>
          </w:tcPr>
          <w:p w14:paraId="628A5F03">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2.5</w:t>
            </w:r>
          </w:p>
        </w:tc>
      </w:tr>
      <w:tr w14:paraId="0233B6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5" w:type="dxa"/>
            <w:vMerge w:val="continue"/>
            <w:vAlign w:val="center"/>
          </w:tcPr>
          <w:p w14:paraId="421514DB">
            <w:pPr>
              <w:widowControl/>
              <w:spacing w:line="0" w:lineRule="atLeast"/>
              <w:jc w:val="center"/>
              <w:rPr>
                <w:rFonts w:hAnsi="仿宋_GB2312"/>
                <w:sz w:val="28"/>
                <w:szCs w:val="28"/>
              </w:rPr>
            </w:pPr>
          </w:p>
        </w:tc>
        <w:tc>
          <w:tcPr>
            <w:tcW w:w="1988" w:type="dxa"/>
            <w:vMerge w:val="continue"/>
            <w:vAlign w:val="center"/>
          </w:tcPr>
          <w:p w14:paraId="2B41F670">
            <w:pPr>
              <w:widowControl/>
              <w:spacing w:line="0" w:lineRule="atLeast"/>
              <w:jc w:val="center"/>
              <w:rPr>
                <w:rFonts w:hAnsi="仿宋_GB2312"/>
                <w:sz w:val="28"/>
                <w:szCs w:val="28"/>
              </w:rPr>
            </w:pPr>
          </w:p>
        </w:tc>
        <w:tc>
          <w:tcPr>
            <w:tcW w:w="3262" w:type="dxa"/>
            <w:vAlign w:val="center"/>
          </w:tcPr>
          <w:p w14:paraId="4613BF62">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残疾人法治化建设宣传情况</w:t>
            </w:r>
          </w:p>
        </w:tc>
        <w:tc>
          <w:tcPr>
            <w:tcW w:w="1144" w:type="dxa"/>
            <w:vAlign w:val="center"/>
          </w:tcPr>
          <w:p w14:paraId="61F9B2E3">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2.5</w:t>
            </w:r>
          </w:p>
        </w:tc>
        <w:tc>
          <w:tcPr>
            <w:tcW w:w="1221" w:type="dxa"/>
            <w:vAlign w:val="center"/>
          </w:tcPr>
          <w:p w14:paraId="32BCC2BB">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2.5</w:t>
            </w:r>
          </w:p>
        </w:tc>
      </w:tr>
      <w:tr w14:paraId="151A4D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5" w:type="dxa"/>
            <w:vMerge w:val="continue"/>
            <w:vAlign w:val="center"/>
          </w:tcPr>
          <w:p w14:paraId="5A85506C">
            <w:pPr>
              <w:widowControl/>
              <w:spacing w:line="0" w:lineRule="atLeast"/>
              <w:jc w:val="center"/>
              <w:rPr>
                <w:rFonts w:hAnsi="仿宋_GB2312"/>
                <w:sz w:val="28"/>
                <w:szCs w:val="28"/>
              </w:rPr>
            </w:pPr>
          </w:p>
        </w:tc>
        <w:tc>
          <w:tcPr>
            <w:tcW w:w="1988" w:type="dxa"/>
            <w:vMerge w:val="restart"/>
            <w:vAlign w:val="center"/>
          </w:tcPr>
          <w:p w14:paraId="54D747CF">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质量达标率（17.5）</w:t>
            </w:r>
          </w:p>
        </w:tc>
        <w:tc>
          <w:tcPr>
            <w:tcW w:w="3262" w:type="dxa"/>
            <w:vAlign w:val="center"/>
          </w:tcPr>
          <w:p w14:paraId="454B8E1E">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阳光家园计划服务标准执行达标率</w:t>
            </w:r>
          </w:p>
        </w:tc>
        <w:tc>
          <w:tcPr>
            <w:tcW w:w="1144" w:type="dxa"/>
            <w:vAlign w:val="center"/>
          </w:tcPr>
          <w:p w14:paraId="1A4FD77F">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2.5</w:t>
            </w:r>
          </w:p>
        </w:tc>
        <w:tc>
          <w:tcPr>
            <w:tcW w:w="1221" w:type="dxa"/>
            <w:vAlign w:val="center"/>
          </w:tcPr>
          <w:p w14:paraId="03DEF6B7">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2.5</w:t>
            </w:r>
          </w:p>
        </w:tc>
      </w:tr>
      <w:tr w14:paraId="32F12A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5" w:type="dxa"/>
            <w:vMerge w:val="continue"/>
            <w:vAlign w:val="center"/>
          </w:tcPr>
          <w:p w14:paraId="00B24C59">
            <w:pPr>
              <w:widowControl/>
              <w:spacing w:line="0" w:lineRule="atLeast"/>
              <w:jc w:val="center"/>
              <w:rPr>
                <w:rFonts w:hAnsi="仿宋_GB2312"/>
                <w:sz w:val="28"/>
                <w:szCs w:val="28"/>
              </w:rPr>
            </w:pPr>
          </w:p>
        </w:tc>
        <w:tc>
          <w:tcPr>
            <w:tcW w:w="1988" w:type="dxa"/>
            <w:vMerge w:val="continue"/>
            <w:vAlign w:val="center"/>
          </w:tcPr>
          <w:p w14:paraId="279FF1C6">
            <w:pPr>
              <w:widowControl/>
              <w:spacing w:line="0" w:lineRule="atLeast"/>
              <w:jc w:val="center"/>
              <w:rPr>
                <w:rFonts w:hAnsi="仿宋_GB2312"/>
                <w:sz w:val="28"/>
                <w:szCs w:val="28"/>
              </w:rPr>
            </w:pPr>
          </w:p>
        </w:tc>
        <w:tc>
          <w:tcPr>
            <w:tcW w:w="3262" w:type="dxa"/>
            <w:vAlign w:val="center"/>
          </w:tcPr>
          <w:p w14:paraId="659287EA">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贫困重度残疾人家庭无障碍改造标准执行率</w:t>
            </w:r>
          </w:p>
        </w:tc>
        <w:tc>
          <w:tcPr>
            <w:tcW w:w="1144" w:type="dxa"/>
            <w:vAlign w:val="center"/>
          </w:tcPr>
          <w:p w14:paraId="6C3EC74F">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2.5</w:t>
            </w:r>
          </w:p>
        </w:tc>
        <w:tc>
          <w:tcPr>
            <w:tcW w:w="1221" w:type="dxa"/>
            <w:vAlign w:val="center"/>
          </w:tcPr>
          <w:p w14:paraId="104D4A6F">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2.5</w:t>
            </w:r>
          </w:p>
        </w:tc>
      </w:tr>
      <w:tr w14:paraId="52A735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5" w:type="dxa"/>
            <w:vMerge w:val="continue"/>
            <w:vAlign w:val="center"/>
          </w:tcPr>
          <w:p w14:paraId="0F9445A7">
            <w:pPr>
              <w:widowControl/>
              <w:spacing w:line="0" w:lineRule="atLeast"/>
              <w:jc w:val="center"/>
              <w:rPr>
                <w:rFonts w:hAnsi="仿宋_GB2312"/>
                <w:sz w:val="28"/>
                <w:szCs w:val="28"/>
              </w:rPr>
            </w:pPr>
          </w:p>
        </w:tc>
        <w:tc>
          <w:tcPr>
            <w:tcW w:w="1988" w:type="dxa"/>
            <w:vMerge w:val="continue"/>
            <w:vAlign w:val="center"/>
          </w:tcPr>
          <w:p w14:paraId="404682A1">
            <w:pPr>
              <w:widowControl/>
              <w:spacing w:line="0" w:lineRule="atLeast"/>
              <w:jc w:val="center"/>
              <w:rPr>
                <w:rFonts w:hAnsi="仿宋_GB2312"/>
                <w:sz w:val="28"/>
                <w:szCs w:val="28"/>
              </w:rPr>
            </w:pPr>
          </w:p>
        </w:tc>
        <w:tc>
          <w:tcPr>
            <w:tcW w:w="3262" w:type="dxa"/>
            <w:vAlign w:val="center"/>
          </w:tcPr>
          <w:p w14:paraId="518FF242">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儿童康复训练经费标准执行达标率</w:t>
            </w:r>
          </w:p>
        </w:tc>
        <w:tc>
          <w:tcPr>
            <w:tcW w:w="1144" w:type="dxa"/>
            <w:vAlign w:val="center"/>
          </w:tcPr>
          <w:p w14:paraId="4CDD4D84">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2.5</w:t>
            </w:r>
          </w:p>
        </w:tc>
        <w:tc>
          <w:tcPr>
            <w:tcW w:w="1221" w:type="dxa"/>
            <w:vAlign w:val="center"/>
          </w:tcPr>
          <w:p w14:paraId="050C85A6">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2.5</w:t>
            </w:r>
          </w:p>
        </w:tc>
      </w:tr>
      <w:tr w14:paraId="398291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5" w:type="dxa"/>
            <w:vMerge w:val="continue"/>
            <w:vAlign w:val="center"/>
          </w:tcPr>
          <w:p w14:paraId="31E0F1C4">
            <w:pPr>
              <w:widowControl/>
              <w:spacing w:line="0" w:lineRule="atLeast"/>
              <w:jc w:val="center"/>
              <w:rPr>
                <w:rFonts w:hAnsi="仿宋_GB2312"/>
                <w:sz w:val="28"/>
                <w:szCs w:val="28"/>
              </w:rPr>
            </w:pPr>
          </w:p>
        </w:tc>
        <w:tc>
          <w:tcPr>
            <w:tcW w:w="1988" w:type="dxa"/>
            <w:vMerge w:val="continue"/>
            <w:vAlign w:val="center"/>
          </w:tcPr>
          <w:p w14:paraId="52AC999F">
            <w:pPr>
              <w:widowControl/>
              <w:spacing w:line="0" w:lineRule="atLeast"/>
              <w:jc w:val="center"/>
              <w:rPr>
                <w:rFonts w:hAnsi="仿宋_GB2312"/>
                <w:sz w:val="28"/>
                <w:szCs w:val="28"/>
              </w:rPr>
            </w:pPr>
          </w:p>
        </w:tc>
        <w:tc>
          <w:tcPr>
            <w:tcW w:w="3262" w:type="dxa"/>
            <w:vAlign w:val="center"/>
          </w:tcPr>
          <w:p w14:paraId="640D0CC1">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困难精神病患者服药救助标准执行达标率</w:t>
            </w:r>
          </w:p>
        </w:tc>
        <w:tc>
          <w:tcPr>
            <w:tcW w:w="1144" w:type="dxa"/>
            <w:vAlign w:val="center"/>
          </w:tcPr>
          <w:p w14:paraId="5F5FFFE0">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2.5</w:t>
            </w:r>
          </w:p>
        </w:tc>
        <w:tc>
          <w:tcPr>
            <w:tcW w:w="1221" w:type="dxa"/>
            <w:vAlign w:val="center"/>
          </w:tcPr>
          <w:p w14:paraId="2AFF8086">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2.5</w:t>
            </w:r>
          </w:p>
        </w:tc>
      </w:tr>
      <w:tr w14:paraId="48139B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5" w:type="dxa"/>
            <w:vMerge w:val="continue"/>
            <w:vAlign w:val="center"/>
          </w:tcPr>
          <w:p w14:paraId="1072757A">
            <w:pPr>
              <w:widowControl/>
              <w:spacing w:line="0" w:lineRule="atLeast"/>
              <w:jc w:val="center"/>
              <w:rPr>
                <w:rFonts w:hAnsi="仿宋_GB2312"/>
                <w:sz w:val="28"/>
                <w:szCs w:val="28"/>
              </w:rPr>
            </w:pPr>
          </w:p>
        </w:tc>
        <w:tc>
          <w:tcPr>
            <w:tcW w:w="1988" w:type="dxa"/>
            <w:vMerge w:val="continue"/>
            <w:vAlign w:val="center"/>
          </w:tcPr>
          <w:p w14:paraId="4B6E17CD">
            <w:pPr>
              <w:widowControl/>
              <w:spacing w:line="0" w:lineRule="atLeast"/>
              <w:jc w:val="center"/>
              <w:rPr>
                <w:rFonts w:hAnsi="仿宋_GB2312"/>
                <w:sz w:val="28"/>
                <w:szCs w:val="28"/>
              </w:rPr>
            </w:pPr>
          </w:p>
        </w:tc>
        <w:tc>
          <w:tcPr>
            <w:tcW w:w="3262" w:type="dxa"/>
            <w:vAlign w:val="center"/>
          </w:tcPr>
          <w:p w14:paraId="7E24540E">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残疾人文化进家庭“五个一”标准执行达标率</w:t>
            </w:r>
          </w:p>
        </w:tc>
        <w:tc>
          <w:tcPr>
            <w:tcW w:w="1144" w:type="dxa"/>
            <w:vAlign w:val="center"/>
          </w:tcPr>
          <w:p w14:paraId="4B0FD2CF">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2.5</w:t>
            </w:r>
          </w:p>
        </w:tc>
        <w:tc>
          <w:tcPr>
            <w:tcW w:w="1221" w:type="dxa"/>
            <w:vAlign w:val="center"/>
          </w:tcPr>
          <w:p w14:paraId="7FD4C24A">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2.5</w:t>
            </w:r>
          </w:p>
        </w:tc>
      </w:tr>
      <w:tr w14:paraId="197928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5" w:type="dxa"/>
            <w:vMerge w:val="continue"/>
            <w:vAlign w:val="center"/>
          </w:tcPr>
          <w:p w14:paraId="62D645D2">
            <w:pPr>
              <w:widowControl/>
              <w:spacing w:line="0" w:lineRule="atLeast"/>
              <w:jc w:val="center"/>
              <w:rPr>
                <w:rFonts w:hAnsi="仿宋_GB2312"/>
                <w:sz w:val="28"/>
                <w:szCs w:val="28"/>
              </w:rPr>
            </w:pPr>
          </w:p>
        </w:tc>
        <w:tc>
          <w:tcPr>
            <w:tcW w:w="1988" w:type="dxa"/>
            <w:vMerge w:val="continue"/>
            <w:vAlign w:val="center"/>
          </w:tcPr>
          <w:p w14:paraId="2F27C10A">
            <w:pPr>
              <w:widowControl/>
              <w:spacing w:line="0" w:lineRule="atLeast"/>
              <w:jc w:val="center"/>
              <w:rPr>
                <w:rFonts w:hAnsi="仿宋_GB2312"/>
                <w:sz w:val="28"/>
                <w:szCs w:val="28"/>
              </w:rPr>
            </w:pPr>
          </w:p>
        </w:tc>
        <w:tc>
          <w:tcPr>
            <w:tcW w:w="3262" w:type="dxa"/>
            <w:vAlign w:val="center"/>
          </w:tcPr>
          <w:p w14:paraId="206467D3">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残疾人机动轮椅车燃油补贴年均补助标准</w:t>
            </w:r>
          </w:p>
        </w:tc>
        <w:tc>
          <w:tcPr>
            <w:tcW w:w="1144" w:type="dxa"/>
            <w:vAlign w:val="center"/>
          </w:tcPr>
          <w:p w14:paraId="21627FC0">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2.5</w:t>
            </w:r>
          </w:p>
        </w:tc>
        <w:tc>
          <w:tcPr>
            <w:tcW w:w="1221" w:type="dxa"/>
            <w:vAlign w:val="center"/>
          </w:tcPr>
          <w:p w14:paraId="44A6ECB7">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2.5</w:t>
            </w:r>
          </w:p>
        </w:tc>
      </w:tr>
      <w:tr w14:paraId="0A8812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5" w:type="dxa"/>
            <w:vMerge w:val="continue"/>
            <w:vAlign w:val="center"/>
          </w:tcPr>
          <w:p w14:paraId="6035C511">
            <w:pPr>
              <w:widowControl/>
              <w:spacing w:line="0" w:lineRule="atLeast"/>
              <w:jc w:val="center"/>
              <w:rPr>
                <w:rFonts w:hAnsi="仿宋_GB2312"/>
                <w:sz w:val="28"/>
                <w:szCs w:val="28"/>
              </w:rPr>
            </w:pPr>
          </w:p>
        </w:tc>
        <w:tc>
          <w:tcPr>
            <w:tcW w:w="1988" w:type="dxa"/>
            <w:vMerge w:val="continue"/>
            <w:vAlign w:val="center"/>
          </w:tcPr>
          <w:p w14:paraId="43675952">
            <w:pPr>
              <w:widowControl/>
              <w:spacing w:line="0" w:lineRule="atLeast"/>
              <w:jc w:val="center"/>
              <w:rPr>
                <w:rFonts w:hAnsi="仿宋_GB2312"/>
                <w:sz w:val="28"/>
                <w:szCs w:val="28"/>
              </w:rPr>
            </w:pPr>
          </w:p>
        </w:tc>
        <w:tc>
          <w:tcPr>
            <w:tcW w:w="3262" w:type="dxa"/>
            <w:vAlign w:val="center"/>
          </w:tcPr>
          <w:p w14:paraId="3F939048">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无障碍改造服务验收合格率</w:t>
            </w:r>
          </w:p>
        </w:tc>
        <w:tc>
          <w:tcPr>
            <w:tcW w:w="1144" w:type="dxa"/>
            <w:vAlign w:val="center"/>
          </w:tcPr>
          <w:p w14:paraId="1F127C5C">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2.5</w:t>
            </w:r>
          </w:p>
        </w:tc>
        <w:tc>
          <w:tcPr>
            <w:tcW w:w="1221" w:type="dxa"/>
            <w:vAlign w:val="center"/>
          </w:tcPr>
          <w:p w14:paraId="3A697DE6">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2.5</w:t>
            </w:r>
          </w:p>
        </w:tc>
      </w:tr>
      <w:tr w14:paraId="50D05C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5" w:type="dxa"/>
            <w:vMerge w:val="continue"/>
            <w:vAlign w:val="center"/>
          </w:tcPr>
          <w:p w14:paraId="4ADB79D0">
            <w:pPr>
              <w:widowControl/>
              <w:spacing w:line="0" w:lineRule="atLeast"/>
              <w:jc w:val="center"/>
              <w:rPr>
                <w:rFonts w:hAnsi="仿宋_GB2312"/>
                <w:sz w:val="28"/>
                <w:szCs w:val="28"/>
              </w:rPr>
            </w:pPr>
          </w:p>
        </w:tc>
        <w:tc>
          <w:tcPr>
            <w:tcW w:w="1988" w:type="dxa"/>
            <w:vMerge w:val="restart"/>
            <w:vAlign w:val="center"/>
          </w:tcPr>
          <w:p w14:paraId="254EF344">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完成及时率（7.5）</w:t>
            </w:r>
          </w:p>
        </w:tc>
        <w:tc>
          <w:tcPr>
            <w:tcW w:w="3262" w:type="dxa"/>
            <w:vAlign w:val="center"/>
          </w:tcPr>
          <w:p w14:paraId="5C2E285F">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贫困重度残疾人家庭无障碍改造完成及时率</w:t>
            </w:r>
          </w:p>
        </w:tc>
        <w:tc>
          <w:tcPr>
            <w:tcW w:w="1144" w:type="dxa"/>
            <w:vAlign w:val="center"/>
          </w:tcPr>
          <w:p w14:paraId="2E28D68C">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2.5</w:t>
            </w:r>
          </w:p>
        </w:tc>
        <w:tc>
          <w:tcPr>
            <w:tcW w:w="1221" w:type="dxa"/>
            <w:vAlign w:val="center"/>
          </w:tcPr>
          <w:p w14:paraId="4FC2F450">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2.5</w:t>
            </w:r>
          </w:p>
        </w:tc>
      </w:tr>
      <w:tr w14:paraId="462A8D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5" w:type="dxa"/>
            <w:vMerge w:val="continue"/>
            <w:vAlign w:val="center"/>
          </w:tcPr>
          <w:p w14:paraId="688FCD80">
            <w:pPr>
              <w:widowControl/>
              <w:spacing w:line="0" w:lineRule="atLeast"/>
              <w:jc w:val="center"/>
              <w:rPr>
                <w:rFonts w:hAnsi="仿宋_GB2312"/>
                <w:sz w:val="28"/>
                <w:szCs w:val="28"/>
              </w:rPr>
            </w:pPr>
          </w:p>
        </w:tc>
        <w:tc>
          <w:tcPr>
            <w:tcW w:w="1988" w:type="dxa"/>
            <w:vMerge w:val="continue"/>
            <w:vAlign w:val="center"/>
          </w:tcPr>
          <w:p w14:paraId="036F7FBC">
            <w:pPr>
              <w:widowControl/>
              <w:spacing w:line="0" w:lineRule="atLeast"/>
              <w:jc w:val="center"/>
              <w:rPr>
                <w:rFonts w:hAnsi="仿宋_GB2312"/>
                <w:sz w:val="28"/>
                <w:szCs w:val="28"/>
              </w:rPr>
            </w:pPr>
          </w:p>
        </w:tc>
        <w:tc>
          <w:tcPr>
            <w:tcW w:w="3262" w:type="dxa"/>
            <w:vAlign w:val="center"/>
          </w:tcPr>
          <w:p w14:paraId="155607B0">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残疾人文化进家庭“五个一”完成及时率</w:t>
            </w:r>
          </w:p>
        </w:tc>
        <w:tc>
          <w:tcPr>
            <w:tcW w:w="1144" w:type="dxa"/>
            <w:vAlign w:val="center"/>
          </w:tcPr>
          <w:p w14:paraId="1A562163">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2.5</w:t>
            </w:r>
          </w:p>
        </w:tc>
        <w:tc>
          <w:tcPr>
            <w:tcW w:w="1221" w:type="dxa"/>
            <w:vAlign w:val="center"/>
          </w:tcPr>
          <w:p w14:paraId="1D58C88B">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2.5</w:t>
            </w:r>
          </w:p>
        </w:tc>
      </w:tr>
      <w:tr w14:paraId="023D4E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5" w:type="dxa"/>
            <w:vMerge w:val="continue"/>
            <w:vAlign w:val="center"/>
          </w:tcPr>
          <w:p w14:paraId="17B1ADA3">
            <w:pPr>
              <w:widowControl/>
              <w:spacing w:line="0" w:lineRule="atLeast"/>
              <w:jc w:val="center"/>
              <w:rPr>
                <w:rFonts w:hAnsi="仿宋_GB2312"/>
                <w:sz w:val="28"/>
                <w:szCs w:val="28"/>
              </w:rPr>
            </w:pPr>
          </w:p>
        </w:tc>
        <w:tc>
          <w:tcPr>
            <w:tcW w:w="1988" w:type="dxa"/>
            <w:vMerge w:val="continue"/>
            <w:vAlign w:val="center"/>
          </w:tcPr>
          <w:p w14:paraId="2D52B452">
            <w:pPr>
              <w:widowControl/>
              <w:spacing w:line="0" w:lineRule="atLeast"/>
              <w:jc w:val="center"/>
              <w:rPr>
                <w:rFonts w:hAnsi="仿宋_GB2312"/>
                <w:sz w:val="28"/>
                <w:szCs w:val="28"/>
              </w:rPr>
            </w:pPr>
          </w:p>
        </w:tc>
        <w:tc>
          <w:tcPr>
            <w:tcW w:w="3262" w:type="dxa"/>
            <w:vAlign w:val="center"/>
          </w:tcPr>
          <w:p w14:paraId="2F4FA226">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扶残助学资助申报审核及时性</w:t>
            </w:r>
          </w:p>
        </w:tc>
        <w:tc>
          <w:tcPr>
            <w:tcW w:w="1144" w:type="dxa"/>
            <w:vAlign w:val="center"/>
          </w:tcPr>
          <w:p w14:paraId="4C5B96F9">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2.5</w:t>
            </w:r>
          </w:p>
        </w:tc>
        <w:tc>
          <w:tcPr>
            <w:tcW w:w="1221" w:type="dxa"/>
            <w:vAlign w:val="center"/>
          </w:tcPr>
          <w:p w14:paraId="33A2DAE0">
            <w:pPr>
              <w:widowControl/>
              <w:spacing w:line="0" w:lineRule="atLeast"/>
              <w:jc w:val="center"/>
              <w:textAlignment w:val="center"/>
              <w:rPr>
                <w:rFonts w:hAnsi="仿宋_GB2312"/>
                <w:sz w:val="28"/>
                <w:szCs w:val="28"/>
              </w:rPr>
            </w:pPr>
            <w:r>
              <w:rPr>
                <w:rFonts w:hAnsi="仿宋_GB2312" w:eastAsia="仿宋" w:cs="仿宋"/>
                <w:color w:val="FF0000"/>
                <w:kern w:val="0"/>
                <w:sz w:val="28"/>
                <w:szCs w:val="28"/>
                <w:lang w:bidi="ar"/>
              </w:rPr>
              <w:t>1.25</w:t>
            </w:r>
          </w:p>
        </w:tc>
      </w:tr>
      <w:tr w14:paraId="603072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5" w:type="dxa"/>
            <w:vMerge w:val="restart"/>
            <w:vAlign w:val="center"/>
          </w:tcPr>
          <w:p w14:paraId="4CB5E690">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社会效应(15)</w:t>
            </w:r>
          </w:p>
        </w:tc>
        <w:tc>
          <w:tcPr>
            <w:tcW w:w="1988" w:type="dxa"/>
            <w:vAlign w:val="center"/>
          </w:tcPr>
          <w:p w14:paraId="6DD13654">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经济效益（3）</w:t>
            </w:r>
          </w:p>
        </w:tc>
        <w:tc>
          <w:tcPr>
            <w:tcW w:w="3262" w:type="dxa"/>
            <w:vAlign w:val="center"/>
          </w:tcPr>
          <w:p w14:paraId="7E37B004">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残疾人生活水平有所提高</w:t>
            </w:r>
          </w:p>
        </w:tc>
        <w:tc>
          <w:tcPr>
            <w:tcW w:w="1144" w:type="dxa"/>
            <w:vAlign w:val="center"/>
          </w:tcPr>
          <w:p w14:paraId="61F1A52F">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3.0</w:t>
            </w:r>
          </w:p>
        </w:tc>
        <w:tc>
          <w:tcPr>
            <w:tcW w:w="1221" w:type="dxa"/>
            <w:vAlign w:val="center"/>
          </w:tcPr>
          <w:p w14:paraId="4A8B3FD1">
            <w:pPr>
              <w:widowControl/>
              <w:spacing w:line="0" w:lineRule="atLeast"/>
              <w:jc w:val="center"/>
              <w:textAlignment w:val="center"/>
              <w:rPr>
                <w:rFonts w:hAnsi="仿宋_GB2312"/>
                <w:sz w:val="28"/>
                <w:szCs w:val="28"/>
              </w:rPr>
            </w:pPr>
            <w:r>
              <w:rPr>
                <w:rFonts w:hAnsi="仿宋_GB2312" w:eastAsia="仿宋" w:cs="仿宋"/>
                <w:color w:val="FF0000"/>
                <w:kern w:val="0"/>
                <w:sz w:val="28"/>
                <w:szCs w:val="28"/>
                <w:lang w:bidi="ar"/>
              </w:rPr>
              <w:t>2.43</w:t>
            </w:r>
          </w:p>
        </w:tc>
      </w:tr>
      <w:tr w14:paraId="52A254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5" w:type="dxa"/>
            <w:vMerge w:val="continue"/>
            <w:vAlign w:val="center"/>
          </w:tcPr>
          <w:p w14:paraId="4CBB1872">
            <w:pPr>
              <w:widowControl/>
              <w:spacing w:line="0" w:lineRule="atLeast"/>
              <w:jc w:val="center"/>
              <w:rPr>
                <w:rFonts w:hAnsi="仿宋_GB2312"/>
                <w:sz w:val="28"/>
                <w:szCs w:val="28"/>
              </w:rPr>
            </w:pPr>
          </w:p>
        </w:tc>
        <w:tc>
          <w:tcPr>
            <w:tcW w:w="1988" w:type="dxa"/>
            <w:vMerge w:val="restart"/>
            <w:vAlign w:val="center"/>
          </w:tcPr>
          <w:p w14:paraId="2E48DC2B">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社会效益（12）</w:t>
            </w:r>
          </w:p>
        </w:tc>
        <w:tc>
          <w:tcPr>
            <w:tcW w:w="3262" w:type="dxa"/>
            <w:vAlign w:val="center"/>
          </w:tcPr>
          <w:p w14:paraId="553E0DA9">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残疾人康复服务水平提高</w:t>
            </w:r>
          </w:p>
        </w:tc>
        <w:tc>
          <w:tcPr>
            <w:tcW w:w="1144" w:type="dxa"/>
            <w:vAlign w:val="center"/>
          </w:tcPr>
          <w:p w14:paraId="7EF993C5">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3.0</w:t>
            </w:r>
          </w:p>
        </w:tc>
        <w:tc>
          <w:tcPr>
            <w:tcW w:w="1221" w:type="dxa"/>
            <w:vAlign w:val="center"/>
          </w:tcPr>
          <w:p w14:paraId="0ED2955E">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3.0</w:t>
            </w:r>
          </w:p>
        </w:tc>
      </w:tr>
      <w:tr w14:paraId="39B741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5" w:type="dxa"/>
            <w:vMerge w:val="continue"/>
            <w:vAlign w:val="center"/>
          </w:tcPr>
          <w:p w14:paraId="552E177F">
            <w:pPr>
              <w:widowControl/>
              <w:spacing w:line="0" w:lineRule="atLeast"/>
              <w:jc w:val="center"/>
              <w:rPr>
                <w:rFonts w:hAnsi="仿宋_GB2312"/>
                <w:sz w:val="28"/>
                <w:szCs w:val="28"/>
              </w:rPr>
            </w:pPr>
          </w:p>
        </w:tc>
        <w:tc>
          <w:tcPr>
            <w:tcW w:w="1988" w:type="dxa"/>
            <w:vMerge w:val="continue"/>
            <w:vAlign w:val="center"/>
          </w:tcPr>
          <w:p w14:paraId="5541794B">
            <w:pPr>
              <w:widowControl/>
              <w:spacing w:line="0" w:lineRule="atLeast"/>
              <w:jc w:val="center"/>
              <w:rPr>
                <w:rFonts w:hAnsi="仿宋_GB2312"/>
                <w:sz w:val="28"/>
                <w:szCs w:val="28"/>
              </w:rPr>
            </w:pPr>
          </w:p>
        </w:tc>
        <w:tc>
          <w:tcPr>
            <w:tcW w:w="3262" w:type="dxa"/>
            <w:vAlign w:val="center"/>
          </w:tcPr>
          <w:p w14:paraId="4DCDF2A4">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有需求的残疾儿童得到基本康复服务覆盖率提高</w:t>
            </w:r>
          </w:p>
        </w:tc>
        <w:tc>
          <w:tcPr>
            <w:tcW w:w="1144" w:type="dxa"/>
            <w:vAlign w:val="center"/>
          </w:tcPr>
          <w:p w14:paraId="2703B521">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3.0</w:t>
            </w:r>
          </w:p>
        </w:tc>
        <w:tc>
          <w:tcPr>
            <w:tcW w:w="1221" w:type="dxa"/>
            <w:vAlign w:val="center"/>
          </w:tcPr>
          <w:p w14:paraId="4F07B6FD">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3.0</w:t>
            </w:r>
          </w:p>
        </w:tc>
      </w:tr>
      <w:tr w14:paraId="67194E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5" w:type="dxa"/>
            <w:vMerge w:val="continue"/>
            <w:vAlign w:val="center"/>
          </w:tcPr>
          <w:p w14:paraId="2892F5C4">
            <w:pPr>
              <w:widowControl/>
              <w:spacing w:line="0" w:lineRule="atLeast"/>
              <w:jc w:val="center"/>
              <w:rPr>
                <w:rFonts w:hAnsi="仿宋_GB2312"/>
                <w:sz w:val="28"/>
                <w:szCs w:val="28"/>
              </w:rPr>
            </w:pPr>
          </w:p>
        </w:tc>
        <w:tc>
          <w:tcPr>
            <w:tcW w:w="1988" w:type="dxa"/>
            <w:vMerge w:val="continue"/>
            <w:vAlign w:val="center"/>
          </w:tcPr>
          <w:p w14:paraId="1B1D338B">
            <w:pPr>
              <w:widowControl/>
              <w:spacing w:line="0" w:lineRule="atLeast"/>
              <w:jc w:val="center"/>
              <w:rPr>
                <w:rFonts w:hAnsi="仿宋_GB2312"/>
                <w:sz w:val="28"/>
                <w:szCs w:val="28"/>
              </w:rPr>
            </w:pPr>
          </w:p>
        </w:tc>
        <w:tc>
          <w:tcPr>
            <w:tcW w:w="3262" w:type="dxa"/>
            <w:vAlign w:val="center"/>
          </w:tcPr>
          <w:p w14:paraId="44362E57">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残疾人机动轮椅车车主出行便利程度提高</w:t>
            </w:r>
          </w:p>
        </w:tc>
        <w:tc>
          <w:tcPr>
            <w:tcW w:w="1144" w:type="dxa"/>
            <w:vAlign w:val="center"/>
          </w:tcPr>
          <w:p w14:paraId="78CC898E">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2.0</w:t>
            </w:r>
          </w:p>
        </w:tc>
        <w:tc>
          <w:tcPr>
            <w:tcW w:w="1221" w:type="dxa"/>
            <w:vAlign w:val="center"/>
          </w:tcPr>
          <w:p w14:paraId="6F78432C">
            <w:pPr>
              <w:widowControl/>
              <w:spacing w:line="0" w:lineRule="atLeast"/>
              <w:jc w:val="center"/>
              <w:textAlignment w:val="center"/>
              <w:rPr>
                <w:rFonts w:hAnsi="仿宋_GB2312"/>
                <w:sz w:val="28"/>
                <w:szCs w:val="28"/>
              </w:rPr>
            </w:pPr>
            <w:r>
              <w:rPr>
                <w:rFonts w:hAnsi="仿宋_GB2312" w:eastAsia="仿宋" w:cs="仿宋"/>
                <w:color w:val="FF0000"/>
                <w:kern w:val="0"/>
                <w:sz w:val="28"/>
                <w:szCs w:val="28"/>
                <w:lang w:bidi="ar"/>
              </w:rPr>
              <w:t>1.62</w:t>
            </w:r>
          </w:p>
        </w:tc>
      </w:tr>
      <w:tr w14:paraId="7EBD92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5" w:type="dxa"/>
            <w:vMerge w:val="continue"/>
            <w:vAlign w:val="center"/>
          </w:tcPr>
          <w:p w14:paraId="0CF7F13B">
            <w:pPr>
              <w:widowControl/>
              <w:spacing w:line="0" w:lineRule="atLeast"/>
              <w:jc w:val="center"/>
              <w:rPr>
                <w:rFonts w:hAnsi="仿宋_GB2312"/>
                <w:sz w:val="28"/>
                <w:szCs w:val="28"/>
              </w:rPr>
            </w:pPr>
          </w:p>
        </w:tc>
        <w:tc>
          <w:tcPr>
            <w:tcW w:w="1988" w:type="dxa"/>
            <w:vMerge w:val="continue"/>
            <w:vAlign w:val="center"/>
          </w:tcPr>
          <w:p w14:paraId="5E250D45">
            <w:pPr>
              <w:widowControl/>
              <w:spacing w:line="0" w:lineRule="atLeast"/>
              <w:jc w:val="center"/>
              <w:rPr>
                <w:rFonts w:hAnsi="仿宋_GB2312"/>
                <w:sz w:val="28"/>
                <w:szCs w:val="28"/>
              </w:rPr>
            </w:pPr>
          </w:p>
        </w:tc>
        <w:tc>
          <w:tcPr>
            <w:tcW w:w="3262" w:type="dxa"/>
            <w:vAlign w:val="center"/>
          </w:tcPr>
          <w:p w14:paraId="4854D030">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残疾人享有公共文化服务水平提高</w:t>
            </w:r>
          </w:p>
        </w:tc>
        <w:tc>
          <w:tcPr>
            <w:tcW w:w="1144" w:type="dxa"/>
            <w:vAlign w:val="center"/>
          </w:tcPr>
          <w:p w14:paraId="2AF813B7">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2.0</w:t>
            </w:r>
          </w:p>
        </w:tc>
        <w:tc>
          <w:tcPr>
            <w:tcW w:w="1221" w:type="dxa"/>
            <w:vAlign w:val="center"/>
          </w:tcPr>
          <w:p w14:paraId="440874AD">
            <w:pPr>
              <w:widowControl/>
              <w:spacing w:line="0" w:lineRule="atLeast"/>
              <w:jc w:val="center"/>
              <w:textAlignment w:val="center"/>
              <w:rPr>
                <w:rFonts w:hAnsi="仿宋_GB2312"/>
                <w:sz w:val="28"/>
                <w:szCs w:val="28"/>
              </w:rPr>
            </w:pPr>
            <w:r>
              <w:rPr>
                <w:rFonts w:hAnsi="仿宋_GB2312" w:eastAsia="仿宋" w:cs="仿宋"/>
                <w:color w:val="FF0000"/>
                <w:kern w:val="0"/>
                <w:sz w:val="28"/>
                <w:szCs w:val="28"/>
                <w:lang w:bidi="ar"/>
              </w:rPr>
              <w:t>1.76</w:t>
            </w:r>
          </w:p>
        </w:tc>
      </w:tr>
      <w:tr w14:paraId="7B6541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5" w:type="dxa"/>
            <w:vMerge w:val="continue"/>
            <w:vAlign w:val="center"/>
          </w:tcPr>
          <w:p w14:paraId="0A61A023">
            <w:pPr>
              <w:widowControl/>
              <w:spacing w:line="0" w:lineRule="atLeast"/>
              <w:jc w:val="center"/>
              <w:rPr>
                <w:rFonts w:hAnsi="仿宋_GB2312"/>
                <w:sz w:val="28"/>
                <w:szCs w:val="28"/>
              </w:rPr>
            </w:pPr>
          </w:p>
        </w:tc>
        <w:tc>
          <w:tcPr>
            <w:tcW w:w="1988" w:type="dxa"/>
            <w:vMerge w:val="continue"/>
            <w:vAlign w:val="center"/>
          </w:tcPr>
          <w:p w14:paraId="7D263E07">
            <w:pPr>
              <w:widowControl/>
              <w:spacing w:line="0" w:lineRule="atLeast"/>
              <w:jc w:val="center"/>
              <w:rPr>
                <w:rFonts w:hAnsi="仿宋_GB2312"/>
                <w:sz w:val="28"/>
                <w:szCs w:val="28"/>
              </w:rPr>
            </w:pPr>
          </w:p>
        </w:tc>
        <w:tc>
          <w:tcPr>
            <w:tcW w:w="3262" w:type="dxa"/>
            <w:vAlign w:val="center"/>
          </w:tcPr>
          <w:p w14:paraId="35A4D098">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残疾人信访维权处理情况</w:t>
            </w:r>
          </w:p>
        </w:tc>
        <w:tc>
          <w:tcPr>
            <w:tcW w:w="1144" w:type="dxa"/>
            <w:vAlign w:val="center"/>
          </w:tcPr>
          <w:p w14:paraId="623F14DB">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2.0</w:t>
            </w:r>
          </w:p>
        </w:tc>
        <w:tc>
          <w:tcPr>
            <w:tcW w:w="1221" w:type="dxa"/>
            <w:vAlign w:val="center"/>
          </w:tcPr>
          <w:p w14:paraId="5C020B50">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2.0</w:t>
            </w:r>
          </w:p>
        </w:tc>
      </w:tr>
      <w:tr w14:paraId="6B43DE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5" w:type="dxa"/>
            <w:vMerge w:val="restart"/>
            <w:vAlign w:val="center"/>
          </w:tcPr>
          <w:p w14:paraId="0CADAA9B">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可持续发展能力</w:t>
            </w:r>
            <w:r>
              <w:rPr>
                <w:rFonts w:hAnsi="仿宋_GB2312" w:eastAsia="仿宋" w:cs="仿宋"/>
                <w:color w:val="000000"/>
                <w:kern w:val="0"/>
                <w:sz w:val="28"/>
                <w:szCs w:val="28"/>
                <w:lang w:bidi="ar"/>
              </w:rPr>
              <w:br w:type="textWrapping"/>
            </w:r>
            <w:r>
              <w:rPr>
                <w:rFonts w:hAnsi="仿宋_GB2312" w:eastAsia="仿宋" w:cs="仿宋"/>
                <w:color w:val="000000"/>
                <w:kern w:val="0"/>
                <w:sz w:val="28"/>
                <w:szCs w:val="28"/>
                <w:lang w:bidi="ar"/>
              </w:rPr>
              <w:t>(6)</w:t>
            </w:r>
          </w:p>
        </w:tc>
        <w:tc>
          <w:tcPr>
            <w:tcW w:w="1988" w:type="dxa"/>
            <w:vMerge w:val="restart"/>
            <w:vAlign w:val="center"/>
          </w:tcPr>
          <w:p w14:paraId="4815D192">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体制机制改革(2)</w:t>
            </w:r>
          </w:p>
        </w:tc>
        <w:tc>
          <w:tcPr>
            <w:tcW w:w="3262" w:type="dxa"/>
            <w:vAlign w:val="center"/>
          </w:tcPr>
          <w:p w14:paraId="45B0347B">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服务体制改革成效</w:t>
            </w:r>
          </w:p>
        </w:tc>
        <w:tc>
          <w:tcPr>
            <w:tcW w:w="1144" w:type="dxa"/>
            <w:vAlign w:val="center"/>
          </w:tcPr>
          <w:p w14:paraId="1D9160D7">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1.0</w:t>
            </w:r>
          </w:p>
        </w:tc>
        <w:tc>
          <w:tcPr>
            <w:tcW w:w="1221" w:type="dxa"/>
            <w:vAlign w:val="center"/>
          </w:tcPr>
          <w:p w14:paraId="0050FDFA">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1.0</w:t>
            </w:r>
          </w:p>
        </w:tc>
      </w:tr>
      <w:tr w14:paraId="796836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5" w:type="dxa"/>
            <w:vMerge w:val="continue"/>
            <w:vAlign w:val="center"/>
          </w:tcPr>
          <w:p w14:paraId="3AB4E6FB">
            <w:pPr>
              <w:widowControl/>
              <w:spacing w:line="0" w:lineRule="atLeast"/>
              <w:jc w:val="center"/>
              <w:rPr>
                <w:rFonts w:hAnsi="仿宋_GB2312"/>
                <w:sz w:val="28"/>
                <w:szCs w:val="28"/>
              </w:rPr>
            </w:pPr>
          </w:p>
        </w:tc>
        <w:tc>
          <w:tcPr>
            <w:tcW w:w="1988" w:type="dxa"/>
            <w:vMerge w:val="continue"/>
            <w:vAlign w:val="center"/>
          </w:tcPr>
          <w:p w14:paraId="11183E54">
            <w:pPr>
              <w:widowControl/>
              <w:spacing w:line="0" w:lineRule="atLeast"/>
              <w:jc w:val="center"/>
              <w:rPr>
                <w:rFonts w:hAnsi="仿宋_GB2312"/>
                <w:sz w:val="28"/>
                <w:szCs w:val="28"/>
              </w:rPr>
            </w:pPr>
          </w:p>
        </w:tc>
        <w:tc>
          <w:tcPr>
            <w:tcW w:w="3262" w:type="dxa"/>
            <w:vAlign w:val="center"/>
          </w:tcPr>
          <w:p w14:paraId="43156FA1">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行政管理体制改革成效</w:t>
            </w:r>
          </w:p>
        </w:tc>
        <w:tc>
          <w:tcPr>
            <w:tcW w:w="1144" w:type="dxa"/>
            <w:vAlign w:val="center"/>
          </w:tcPr>
          <w:p w14:paraId="36B91BFC">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1.0</w:t>
            </w:r>
          </w:p>
        </w:tc>
        <w:tc>
          <w:tcPr>
            <w:tcW w:w="1221" w:type="dxa"/>
            <w:vAlign w:val="center"/>
          </w:tcPr>
          <w:p w14:paraId="68C3AABA">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1.0</w:t>
            </w:r>
          </w:p>
        </w:tc>
      </w:tr>
      <w:tr w14:paraId="399020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5" w:type="dxa"/>
            <w:vMerge w:val="continue"/>
            <w:vAlign w:val="center"/>
          </w:tcPr>
          <w:p w14:paraId="7C6E3223">
            <w:pPr>
              <w:widowControl/>
              <w:spacing w:line="0" w:lineRule="atLeast"/>
              <w:jc w:val="center"/>
              <w:rPr>
                <w:rFonts w:hAnsi="仿宋_GB2312"/>
                <w:sz w:val="28"/>
                <w:szCs w:val="28"/>
              </w:rPr>
            </w:pPr>
          </w:p>
        </w:tc>
        <w:tc>
          <w:tcPr>
            <w:tcW w:w="1988" w:type="dxa"/>
            <w:vMerge w:val="restart"/>
            <w:vAlign w:val="center"/>
          </w:tcPr>
          <w:p w14:paraId="6BA7B1CD">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人才支撑(2)</w:t>
            </w:r>
          </w:p>
        </w:tc>
        <w:tc>
          <w:tcPr>
            <w:tcW w:w="3262" w:type="dxa"/>
            <w:vAlign w:val="center"/>
          </w:tcPr>
          <w:p w14:paraId="4AB00E2B">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业务学习与培训完成率</w:t>
            </w:r>
          </w:p>
        </w:tc>
        <w:tc>
          <w:tcPr>
            <w:tcW w:w="1144" w:type="dxa"/>
            <w:vAlign w:val="center"/>
          </w:tcPr>
          <w:p w14:paraId="51601FE3">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0.5</w:t>
            </w:r>
          </w:p>
        </w:tc>
        <w:tc>
          <w:tcPr>
            <w:tcW w:w="1221" w:type="dxa"/>
            <w:vAlign w:val="center"/>
          </w:tcPr>
          <w:p w14:paraId="2C3A89A0">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0.5</w:t>
            </w:r>
          </w:p>
        </w:tc>
      </w:tr>
      <w:tr w14:paraId="425F98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5" w:type="dxa"/>
            <w:vMerge w:val="continue"/>
            <w:vAlign w:val="center"/>
          </w:tcPr>
          <w:p w14:paraId="3826959A">
            <w:pPr>
              <w:widowControl/>
              <w:spacing w:line="0" w:lineRule="atLeast"/>
              <w:jc w:val="center"/>
              <w:rPr>
                <w:rFonts w:hAnsi="仿宋_GB2312"/>
                <w:sz w:val="28"/>
                <w:szCs w:val="28"/>
              </w:rPr>
            </w:pPr>
          </w:p>
        </w:tc>
        <w:tc>
          <w:tcPr>
            <w:tcW w:w="1988" w:type="dxa"/>
            <w:vMerge w:val="continue"/>
            <w:vAlign w:val="center"/>
          </w:tcPr>
          <w:p w14:paraId="675CFF57">
            <w:pPr>
              <w:widowControl/>
              <w:spacing w:line="0" w:lineRule="atLeast"/>
              <w:jc w:val="center"/>
              <w:rPr>
                <w:rFonts w:hAnsi="仿宋_GB2312"/>
                <w:sz w:val="28"/>
                <w:szCs w:val="28"/>
              </w:rPr>
            </w:pPr>
          </w:p>
        </w:tc>
        <w:tc>
          <w:tcPr>
            <w:tcW w:w="3262" w:type="dxa"/>
            <w:vAlign w:val="center"/>
          </w:tcPr>
          <w:p w14:paraId="5A561FA6">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干部队伍体系建设规划情况</w:t>
            </w:r>
          </w:p>
        </w:tc>
        <w:tc>
          <w:tcPr>
            <w:tcW w:w="1144" w:type="dxa"/>
            <w:vAlign w:val="center"/>
          </w:tcPr>
          <w:p w14:paraId="4ED91730">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0.5</w:t>
            </w:r>
          </w:p>
        </w:tc>
        <w:tc>
          <w:tcPr>
            <w:tcW w:w="1221" w:type="dxa"/>
            <w:vAlign w:val="center"/>
          </w:tcPr>
          <w:p w14:paraId="65249DBD">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0.5</w:t>
            </w:r>
          </w:p>
        </w:tc>
      </w:tr>
      <w:tr w14:paraId="426D3D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5" w:type="dxa"/>
            <w:vMerge w:val="continue"/>
            <w:vAlign w:val="center"/>
          </w:tcPr>
          <w:p w14:paraId="69DCFD36">
            <w:pPr>
              <w:widowControl/>
              <w:spacing w:line="0" w:lineRule="atLeast"/>
              <w:jc w:val="center"/>
              <w:rPr>
                <w:rFonts w:hAnsi="仿宋_GB2312"/>
                <w:sz w:val="28"/>
                <w:szCs w:val="28"/>
              </w:rPr>
            </w:pPr>
          </w:p>
        </w:tc>
        <w:tc>
          <w:tcPr>
            <w:tcW w:w="1988" w:type="dxa"/>
            <w:vMerge w:val="continue"/>
            <w:vAlign w:val="center"/>
          </w:tcPr>
          <w:p w14:paraId="35191CC9">
            <w:pPr>
              <w:widowControl/>
              <w:spacing w:line="0" w:lineRule="atLeast"/>
              <w:jc w:val="center"/>
              <w:rPr>
                <w:rFonts w:hAnsi="仿宋_GB2312"/>
                <w:sz w:val="28"/>
                <w:szCs w:val="28"/>
              </w:rPr>
            </w:pPr>
          </w:p>
        </w:tc>
        <w:tc>
          <w:tcPr>
            <w:tcW w:w="3262" w:type="dxa"/>
            <w:vAlign w:val="center"/>
          </w:tcPr>
          <w:p w14:paraId="77B61B5F">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高学历，高层次人才储备率</w:t>
            </w:r>
          </w:p>
        </w:tc>
        <w:tc>
          <w:tcPr>
            <w:tcW w:w="1144" w:type="dxa"/>
            <w:vAlign w:val="center"/>
          </w:tcPr>
          <w:p w14:paraId="310852F8">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1.0</w:t>
            </w:r>
          </w:p>
        </w:tc>
        <w:tc>
          <w:tcPr>
            <w:tcW w:w="1221" w:type="dxa"/>
            <w:vAlign w:val="center"/>
          </w:tcPr>
          <w:p w14:paraId="1BE874CB">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1.0</w:t>
            </w:r>
          </w:p>
        </w:tc>
      </w:tr>
      <w:tr w14:paraId="3AEE0E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5" w:type="dxa"/>
            <w:vMerge w:val="continue"/>
            <w:vAlign w:val="center"/>
          </w:tcPr>
          <w:p w14:paraId="3F2D3A87">
            <w:pPr>
              <w:widowControl/>
              <w:spacing w:line="0" w:lineRule="atLeast"/>
              <w:jc w:val="center"/>
              <w:rPr>
                <w:rFonts w:hAnsi="仿宋_GB2312"/>
                <w:sz w:val="28"/>
                <w:szCs w:val="28"/>
              </w:rPr>
            </w:pPr>
          </w:p>
        </w:tc>
        <w:tc>
          <w:tcPr>
            <w:tcW w:w="1988" w:type="dxa"/>
            <w:vAlign w:val="center"/>
          </w:tcPr>
          <w:p w14:paraId="1373EBB6">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科技支撑(2)</w:t>
            </w:r>
          </w:p>
        </w:tc>
        <w:tc>
          <w:tcPr>
            <w:tcW w:w="3262" w:type="dxa"/>
            <w:vAlign w:val="center"/>
          </w:tcPr>
          <w:p w14:paraId="194FBD05">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信息化建设情况</w:t>
            </w:r>
          </w:p>
        </w:tc>
        <w:tc>
          <w:tcPr>
            <w:tcW w:w="1144" w:type="dxa"/>
            <w:vAlign w:val="center"/>
          </w:tcPr>
          <w:p w14:paraId="6826E33A">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2.0</w:t>
            </w:r>
          </w:p>
        </w:tc>
        <w:tc>
          <w:tcPr>
            <w:tcW w:w="1221" w:type="dxa"/>
            <w:vAlign w:val="center"/>
          </w:tcPr>
          <w:p w14:paraId="2FB60735">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2.0</w:t>
            </w:r>
          </w:p>
        </w:tc>
      </w:tr>
      <w:tr w14:paraId="2F3ED5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5" w:type="dxa"/>
            <w:vMerge w:val="restart"/>
            <w:vAlign w:val="center"/>
          </w:tcPr>
          <w:p w14:paraId="0738B2C5">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满意度(4）</w:t>
            </w:r>
          </w:p>
        </w:tc>
        <w:tc>
          <w:tcPr>
            <w:tcW w:w="1988" w:type="dxa"/>
            <w:vAlign w:val="center"/>
          </w:tcPr>
          <w:p w14:paraId="7140E2AA">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服务对象满意度（2)</w:t>
            </w:r>
          </w:p>
        </w:tc>
        <w:tc>
          <w:tcPr>
            <w:tcW w:w="3262" w:type="dxa"/>
            <w:vAlign w:val="center"/>
          </w:tcPr>
          <w:p w14:paraId="615EC2E2">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接受服务的残疾人或家属满意度</w:t>
            </w:r>
          </w:p>
        </w:tc>
        <w:tc>
          <w:tcPr>
            <w:tcW w:w="1144" w:type="dxa"/>
            <w:vAlign w:val="center"/>
          </w:tcPr>
          <w:p w14:paraId="6B9BBF37">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2.0</w:t>
            </w:r>
          </w:p>
        </w:tc>
        <w:tc>
          <w:tcPr>
            <w:tcW w:w="1221" w:type="dxa"/>
            <w:vAlign w:val="center"/>
          </w:tcPr>
          <w:p w14:paraId="12454DFB">
            <w:pPr>
              <w:widowControl/>
              <w:spacing w:line="0" w:lineRule="atLeast"/>
              <w:jc w:val="center"/>
              <w:textAlignment w:val="center"/>
              <w:rPr>
                <w:rFonts w:hAnsi="仿宋_GB2312"/>
                <w:sz w:val="28"/>
                <w:szCs w:val="28"/>
              </w:rPr>
            </w:pPr>
            <w:r>
              <w:rPr>
                <w:rFonts w:hAnsi="仿宋_GB2312" w:eastAsia="仿宋" w:cs="仿宋"/>
                <w:color w:val="FF0000"/>
                <w:kern w:val="0"/>
                <w:sz w:val="28"/>
                <w:szCs w:val="28"/>
                <w:lang w:bidi="ar"/>
              </w:rPr>
              <w:t>1.76</w:t>
            </w:r>
          </w:p>
        </w:tc>
      </w:tr>
      <w:tr w14:paraId="67E682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5" w:type="dxa"/>
            <w:vMerge w:val="continue"/>
            <w:vAlign w:val="center"/>
          </w:tcPr>
          <w:p w14:paraId="23529169">
            <w:pPr>
              <w:widowControl/>
              <w:spacing w:line="0" w:lineRule="atLeast"/>
              <w:jc w:val="center"/>
              <w:rPr>
                <w:rFonts w:hAnsi="仿宋_GB2312"/>
                <w:sz w:val="28"/>
                <w:szCs w:val="28"/>
              </w:rPr>
            </w:pPr>
          </w:p>
        </w:tc>
        <w:tc>
          <w:tcPr>
            <w:tcW w:w="1988" w:type="dxa"/>
            <w:vAlign w:val="center"/>
          </w:tcPr>
          <w:p w14:paraId="7411E024">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联系部门满意度（2）</w:t>
            </w:r>
          </w:p>
        </w:tc>
        <w:tc>
          <w:tcPr>
            <w:tcW w:w="3262" w:type="dxa"/>
            <w:vAlign w:val="center"/>
          </w:tcPr>
          <w:p w14:paraId="0A1A0DBF">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其他相关部门满意度</w:t>
            </w:r>
          </w:p>
        </w:tc>
        <w:tc>
          <w:tcPr>
            <w:tcW w:w="1144" w:type="dxa"/>
            <w:vAlign w:val="center"/>
          </w:tcPr>
          <w:p w14:paraId="38288B6E">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2.0</w:t>
            </w:r>
          </w:p>
        </w:tc>
        <w:tc>
          <w:tcPr>
            <w:tcW w:w="1221" w:type="dxa"/>
            <w:vAlign w:val="center"/>
          </w:tcPr>
          <w:p w14:paraId="2AC5A525">
            <w:pPr>
              <w:widowControl/>
              <w:spacing w:line="0" w:lineRule="atLeast"/>
              <w:jc w:val="center"/>
              <w:textAlignment w:val="center"/>
              <w:rPr>
                <w:rFonts w:hAnsi="仿宋_GB2312"/>
                <w:sz w:val="28"/>
                <w:szCs w:val="28"/>
              </w:rPr>
            </w:pPr>
            <w:r>
              <w:rPr>
                <w:rFonts w:hAnsi="仿宋_GB2312" w:eastAsia="仿宋" w:cs="仿宋"/>
                <w:color w:val="000000"/>
                <w:kern w:val="0"/>
                <w:sz w:val="28"/>
                <w:szCs w:val="28"/>
                <w:lang w:bidi="ar"/>
              </w:rPr>
              <w:t>2.0</w:t>
            </w:r>
          </w:p>
        </w:tc>
      </w:tr>
      <w:tr w14:paraId="1F39A6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6695" w:type="dxa"/>
            <w:gridSpan w:val="3"/>
            <w:vAlign w:val="center"/>
          </w:tcPr>
          <w:p w14:paraId="4594393C">
            <w:pPr>
              <w:widowControl/>
              <w:spacing w:line="0" w:lineRule="atLeast"/>
              <w:jc w:val="center"/>
              <w:rPr>
                <w:rFonts w:hAnsi="仿宋_GB2312" w:eastAsia="仿宋" w:cs="仿宋"/>
                <w:color w:val="000000"/>
                <w:kern w:val="0"/>
                <w:sz w:val="28"/>
                <w:szCs w:val="28"/>
                <w:lang w:bidi="ar"/>
              </w:rPr>
            </w:pPr>
            <w:r>
              <w:rPr>
                <w:rFonts w:hAnsi="仿宋_GB2312" w:eastAsia="仿宋" w:cs="仿宋"/>
                <w:sz w:val="28"/>
                <w:szCs w:val="28"/>
              </w:rPr>
              <w:t>合计</w:t>
            </w:r>
          </w:p>
        </w:tc>
        <w:tc>
          <w:tcPr>
            <w:tcW w:w="1144" w:type="dxa"/>
            <w:vAlign w:val="center"/>
          </w:tcPr>
          <w:p w14:paraId="2A49B92F">
            <w:pPr>
              <w:widowControl/>
              <w:spacing w:line="0" w:lineRule="atLeast"/>
              <w:jc w:val="center"/>
              <w:rPr>
                <w:rFonts w:hAnsi="仿宋_GB2312" w:eastAsia="仿宋" w:cs="仿宋"/>
                <w:color w:val="000000"/>
                <w:kern w:val="0"/>
                <w:sz w:val="28"/>
                <w:szCs w:val="28"/>
                <w:lang w:bidi="ar"/>
              </w:rPr>
            </w:pPr>
            <w:r>
              <w:rPr>
                <w:rFonts w:hAnsi="仿宋_GB2312" w:eastAsia="仿宋" w:cs="仿宋"/>
                <w:sz w:val="28"/>
                <w:szCs w:val="28"/>
              </w:rPr>
              <w:t>100</w:t>
            </w:r>
          </w:p>
        </w:tc>
        <w:tc>
          <w:tcPr>
            <w:tcW w:w="1221" w:type="dxa"/>
            <w:vAlign w:val="center"/>
          </w:tcPr>
          <w:p w14:paraId="725F3B8A">
            <w:pPr>
              <w:widowControl/>
              <w:spacing w:line="0" w:lineRule="atLeast"/>
              <w:jc w:val="center"/>
              <w:rPr>
                <w:rFonts w:hAnsi="仿宋_GB2312" w:eastAsia="仿宋" w:cs="仿宋"/>
                <w:color w:val="000000"/>
                <w:kern w:val="0"/>
                <w:sz w:val="28"/>
                <w:szCs w:val="28"/>
                <w:highlight w:val="cyan"/>
                <w:lang w:bidi="ar"/>
              </w:rPr>
            </w:pPr>
            <w:r>
              <w:rPr>
                <w:rFonts w:hAnsi="仿宋_GB2312" w:eastAsia="仿宋" w:cs="仿宋"/>
                <w:sz w:val="28"/>
                <w:szCs w:val="28"/>
              </w:rPr>
              <w:t>9</w:t>
            </w:r>
            <w:r>
              <w:rPr>
                <w:rFonts w:hint="eastAsia" w:hAnsi="仿宋_GB2312" w:eastAsia="仿宋" w:cs="仿宋"/>
                <w:sz w:val="28"/>
                <w:szCs w:val="28"/>
              </w:rPr>
              <w:t>1</w:t>
            </w:r>
            <w:r>
              <w:rPr>
                <w:rFonts w:hAnsi="仿宋_GB2312" w:eastAsia="仿宋" w:cs="仿宋"/>
                <w:sz w:val="28"/>
                <w:szCs w:val="28"/>
              </w:rPr>
              <w:t>.</w:t>
            </w:r>
            <w:r>
              <w:rPr>
                <w:rFonts w:hint="eastAsia" w:hAnsi="仿宋_GB2312" w:eastAsia="仿宋" w:cs="仿宋"/>
                <w:sz w:val="28"/>
                <w:szCs w:val="28"/>
              </w:rPr>
              <w:t>8</w:t>
            </w:r>
            <w:r>
              <w:rPr>
                <w:rFonts w:hAnsi="仿宋_GB2312" w:eastAsia="仿宋" w:cs="仿宋"/>
                <w:sz w:val="28"/>
                <w:szCs w:val="28"/>
              </w:rPr>
              <w:t>2</w:t>
            </w:r>
          </w:p>
        </w:tc>
      </w:tr>
      <w:bookmarkEnd w:id="0"/>
    </w:tbl>
    <w:p w14:paraId="5C4F7768">
      <w:pPr>
        <w:pStyle w:val="5"/>
        <w:spacing w:line="560" w:lineRule="exact"/>
        <w:ind w:firstLine="633"/>
        <w:rPr>
          <w:rFonts w:ascii="Times New Roman" w:hAnsi="Times New Roman" w:eastAsia="楷体"/>
          <w:sz w:val="32"/>
        </w:rPr>
      </w:pPr>
      <w:bookmarkStart w:id="1" w:name="_Hlk40306860"/>
      <w:r>
        <w:rPr>
          <w:rFonts w:ascii="Times New Roman" w:hAnsi="Times New Roman" w:eastAsia="楷体"/>
          <w:sz w:val="32"/>
        </w:rPr>
        <w:t>（二）绩效评价指标情况</w:t>
      </w:r>
    </w:p>
    <w:p w14:paraId="12D1BF45">
      <w:pPr>
        <w:pStyle w:val="5"/>
        <w:spacing w:line="560" w:lineRule="exact"/>
        <w:ind w:firstLine="633"/>
        <w:rPr>
          <w:rFonts w:ascii="Times New Roman" w:hAnsi="Times New Roman"/>
          <w:kern w:val="2"/>
          <w:sz w:val="32"/>
        </w:rPr>
      </w:pPr>
      <w:r>
        <w:rPr>
          <w:rFonts w:ascii="Times New Roman" w:hAnsi="Times New Roman"/>
          <w:kern w:val="2"/>
          <w:sz w:val="32"/>
        </w:rPr>
        <w:t>1、</w:t>
      </w:r>
      <w:r>
        <w:rPr>
          <w:rFonts w:hint="eastAsia" w:ascii="Times New Roman" w:hAnsi="Times New Roman"/>
          <w:kern w:val="2"/>
          <w:sz w:val="32"/>
        </w:rPr>
        <w:t>运行成本。权重8分，</w:t>
      </w:r>
      <w:r>
        <w:rPr>
          <w:rFonts w:ascii="Times New Roman" w:hAnsi="Times New Roman"/>
          <w:kern w:val="2"/>
          <w:sz w:val="32"/>
        </w:rPr>
        <w:t>得分</w:t>
      </w:r>
      <w:r>
        <w:rPr>
          <w:rFonts w:hint="eastAsia" w:ascii="Times New Roman" w:hAnsi="Times New Roman"/>
          <w:kern w:val="2"/>
          <w:sz w:val="32"/>
        </w:rPr>
        <w:t>8</w:t>
      </w:r>
      <w:r>
        <w:rPr>
          <w:rFonts w:ascii="Times New Roman" w:hAnsi="Times New Roman"/>
          <w:kern w:val="2"/>
          <w:sz w:val="32"/>
        </w:rPr>
        <w:t>分，</w:t>
      </w:r>
      <w:r>
        <w:rPr>
          <w:rFonts w:hint="eastAsia" w:ascii="Times New Roman" w:hAnsi="Times New Roman"/>
          <w:kern w:val="2"/>
          <w:sz w:val="32"/>
        </w:rPr>
        <w:t>未扣</w:t>
      </w:r>
      <w:r>
        <w:rPr>
          <w:rFonts w:ascii="Times New Roman" w:hAnsi="Times New Roman"/>
          <w:kern w:val="2"/>
          <w:sz w:val="32"/>
        </w:rPr>
        <w:t>分</w:t>
      </w:r>
    </w:p>
    <w:p w14:paraId="4CBCBF9B">
      <w:pPr>
        <w:spacing w:line="560" w:lineRule="exact"/>
        <w:ind w:firstLine="632" w:firstLineChars="200"/>
        <w:rPr>
          <w:rFonts w:ascii="Times New Roman" w:eastAsia="楷体"/>
          <w:b/>
          <w:bCs/>
          <w:kern w:val="0"/>
          <w:szCs w:val="32"/>
        </w:rPr>
      </w:pPr>
      <w:r>
        <w:rPr>
          <w:rFonts w:hint="eastAsia" w:ascii="Times New Roman"/>
          <w:szCs w:val="32"/>
        </w:rPr>
        <w:t>本年度公用经费未超预算，在职人员未超标准，无会议费及三公经费，新增资产与部门相关支出标准匹配</w:t>
      </w:r>
      <w:r>
        <w:rPr>
          <w:rFonts w:ascii="Times New Roman"/>
          <w:szCs w:val="32"/>
        </w:rPr>
        <w:t>。</w:t>
      </w:r>
    </w:p>
    <w:p w14:paraId="702C72F1">
      <w:pPr>
        <w:pStyle w:val="5"/>
        <w:spacing w:line="560" w:lineRule="exact"/>
        <w:ind w:firstLine="633"/>
        <w:rPr>
          <w:rFonts w:ascii="Times New Roman" w:hAnsi="Times New Roman"/>
          <w:kern w:val="2"/>
          <w:sz w:val="32"/>
        </w:rPr>
      </w:pPr>
      <w:r>
        <w:rPr>
          <w:rFonts w:ascii="Times New Roman" w:hAnsi="Times New Roman"/>
          <w:kern w:val="2"/>
          <w:sz w:val="32"/>
        </w:rPr>
        <w:t>2、</w:t>
      </w:r>
      <w:r>
        <w:rPr>
          <w:rFonts w:hint="eastAsia" w:ascii="Times New Roman" w:hAnsi="Times New Roman"/>
          <w:kern w:val="2"/>
          <w:sz w:val="32"/>
        </w:rPr>
        <w:t>管理效率。权重22分，</w:t>
      </w:r>
      <w:r>
        <w:rPr>
          <w:rFonts w:ascii="Times New Roman" w:hAnsi="Times New Roman"/>
          <w:kern w:val="2"/>
          <w:sz w:val="32"/>
        </w:rPr>
        <w:t>得分</w:t>
      </w:r>
      <w:r>
        <w:rPr>
          <w:rFonts w:hint="eastAsia" w:ascii="Times New Roman" w:hAnsi="Times New Roman"/>
          <w:kern w:val="2"/>
          <w:sz w:val="32"/>
        </w:rPr>
        <w:t>19</w:t>
      </w:r>
      <w:r>
        <w:rPr>
          <w:rFonts w:ascii="Times New Roman" w:hAnsi="Times New Roman"/>
          <w:kern w:val="2"/>
          <w:sz w:val="32"/>
        </w:rPr>
        <w:t>分，扣</w:t>
      </w:r>
      <w:r>
        <w:rPr>
          <w:rFonts w:hint="eastAsia" w:ascii="Times New Roman" w:hAnsi="Times New Roman"/>
          <w:kern w:val="2"/>
          <w:sz w:val="32"/>
        </w:rPr>
        <w:t>3</w:t>
      </w:r>
      <w:r>
        <w:rPr>
          <w:rFonts w:ascii="Times New Roman" w:hAnsi="Times New Roman"/>
          <w:kern w:val="2"/>
          <w:sz w:val="32"/>
        </w:rPr>
        <w:t>分</w:t>
      </w:r>
    </w:p>
    <w:p w14:paraId="026DFDB5">
      <w:pPr>
        <w:spacing w:line="560" w:lineRule="exact"/>
        <w:ind w:firstLine="632" w:firstLineChars="200"/>
        <w:rPr>
          <w:rFonts w:ascii="Times New Roman"/>
          <w:szCs w:val="32"/>
        </w:rPr>
      </w:pPr>
      <w:r>
        <w:rPr>
          <w:rFonts w:hint="eastAsia" w:ascii="Times New Roman"/>
          <w:szCs w:val="32"/>
        </w:rPr>
        <w:t>预算调整率</w:t>
      </w:r>
      <w:r>
        <w:rPr>
          <w:rFonts w:ascii="Times New Roman"/>
          <w:szCs w:val="32"/>
        </w:rPr>
        <w:t>扣</w:t>
      </w:r>
      <w:r>
        <w:rPr>
          <w:rFonts w:hint="eastAsia" w:ascii="Times New Roman"/>
          <w:szCs w:val="32"/>
        </w:rPr>
        <w:t>2</w:t>
      </w:r>
      <w:r>
        <w:rPr>
          <w:rFonts w:ascii="Times New Roman"/>
          <w:szCs w:val="32"/>
        </w:rPr>
        <w:t>分，主要扣分原因是</w:t>
      </w:r>
      <w:r>
        <w:rPr>
          <w:rFonts w:hint="eastAsia" w:ascii="Times New Roman"/>
          <w:szCs w:val="32"/>
        </w:rPr>
        <w:t>2022年预算调整率为212%</w:t>
      </w:r>
      <w:r>
        <w:rPr>
          <w:rFonts w:ascii="Times New Roman"/>
          <w:szCs w:val="32"/>
        </w:rPr>
        <w:t>。</w:t>
      </w:r>
    </w:p>
    <w:p w14:paraId="4CD517B8">
      <w:pPr>
        <w:spacing w:line="560" w:lineRule="exact"/>
        <w:ind w:firstLine="632" w:firstLineChars="200"/>
        <w:rPr>
          <w:rFonts w:ascii="Times New Roman"/>
          <w:szCs w:val="32"/>
        </w:rPr>
      </w:pPr>
      <w:r>
        <w:rPr>
          <w:rFonts w:hint="eastAsia" w:ascii="Times New Roman"/>
          <w:szCs w:val="32"/>
        </w:rPr>
        <w:t>绩效目标合理性扣0.5分，评价结果应用率扣0.5分，主要扣分原因是燃油补助因客观原因（被补助人死亡等）无法按预定金额完成发放，且以前年度燃油补助未发放完成情况也是因为同样原因，本年度仍然按同样方式设定目标。</w:t>
      </w:r>
    </w:p>
    <w:p w14:paraId="2F996734">
      <w:pPr>
        <w:pStyle w:val="5"/>
        <w:spacing w:line="560" w:lineRule="exact"/>
        <w:ind w:firstLine="633"/>
        <w:rPr>
          <w:rFonts w:ascii="Times New Roman" w:hAnsi="Times New Roman"/>
          <w:kern w:val="2"/>
          <w:sz w:val="32"/>
        </w:rPr>
      </w:pPr>
      <w:r>
        <w:rPr>
          <w:rFonts w:ascii="Times New Roman" w:hAnsi="Times New Roman"/>
          <w:kern w:val="2"/>
          <w:sz w:val="32"/>
        </w:rPr>
        <w:t>3、</w:t>
      </w:r>
      <w:r>
        <w:rPr>
          <w:rFonts w:hint="eastAsia" w:ascii="Times New Roman" w:hAnsi="Times New Roman"/>
          <w:kern w:val="2"/>
          <w:sz w:val="32"/>
        </w:rPr>
        <w:t>履职效能。权重45分，得分41.25</w:t>
      </w:r>
      <w:r>
        <w:rPr>
          <w:rFonts w:ascii="Times New Roman" w:hAnsi="Times New Roman"/>
          <w:kern w:val="2"/>
          <w:sz w:val="32"/>
        </w:rPr>
        <w:t>分，扣</w:t>
      </w:r>
      <w:r>
        <w:rPr>
          <w:rFonts w:hint="eastAsia" w:ascii="Times New Roman" w:hAnsi="Times New Roman"/>
          <w:kern w:val="2"/>
          <w:sz w:val="32"/>
        </w:rPr>
        <w:t>3.75</w:t>
      </w:r>
      <w:r>
        <w:rPr>
          <w:rFonts w:ascii="Times New Roman" w:hAnsi="Times New Roman"/>
          <w:kern w:val="2"/>
          <w:sz w:val="32"/>
        </w:rPr>
        <w:t>分</w:t>
      </w:r>
    </w:p>
    <w:p w14:paraId="713AC25F">
      <w:pPr>
        <w:spacing w:line="560" w:lineRule="exact"/>
        <w:ind w:firstLine="632" w:firstLineChars="200"/>
        <w:rPr>
          <w:rFonts w:ascii="Times New Roman"/>
          <w:szCs w:val="32"/>
        </w:rPr>
      </w:pPr>
      <w:r>
        <w:rPr>
          <w:rFonts w:hint="eastAsia" w:ascii="Times New Roman"/>
          <w:szCs w:val="32"/>
        </w:rPr>
        <w:t>发放残疾人机动轮椅车燃油补贴金额</w:t>
      </w:r>
      <w:r>
        <w:rPr>
          <w:rFonts w:ascii="Times New Roman"/>
          <w:szCs w:val="32"/>
        </w:rPr>
        <w:t>扣</w:t>
      </w:r>
      <w:r>
        <w:rPr>
          <w:rFonts w:hint="eastAsia" w:ascii="Times New Roman"/>
          <w:szCs w:val="32"/>
        </w:rPr>
        <w:t>2.5</w:t>
      </w:r>
      <w:r>
        <w:rPr>
          <w:rFonts w:ascii="Times New Roman"/>
          <w:szCs w:val="32"/>
        </w:rPr>
        <w:t>分，主要扣分原因是：</w:t>
      </w:r>
      <w:r>
        <w:rPr>
          <w:rFonts w:hint="eastAsia" w:ascii="Times New Roman"/>
          <w:szCs w:val="32"/>
        </w:rPr>
        <w:t>根据黄石市残疾人联合会</w:t>
      </w:r>
      <w:r>
        <w:rPr>
          <w:rFonts w:ascii="Times New Roman"/>
          <w:szCs w:val="32"/>
        </w:rPr>
        <w:t>《关于</w:t>
      </w:r>
      <w:r>
        <w:rPr>
          <w:rFonts w:hint="eastAsia" w:ascii="Times New Roman"/>
          <w:szCs w:val="32"/>
        </w:rPr>
        <w:t>印发</w:t>
      </w:r>
      <w:r>
        <w:rPr>
          <w:rFonts w:ascii="Times New Roman"/>
          <w:szCs w:val="32"/>
        </w:rPr>
        <w:t>&lt;</w:t>
      </w:r>
      <w:r>
        <w:rPr>
          <w:rFonts w:hint="eastAsia" w:ascii="Times New Roman"/>
          <w:szCs w:val="32"/>
        </w:rPr>
        <w:t>黄石市残疾人机动轮椅车燃油补贴发放工作制度</w:t>
      </w:r>
      <w:r>
        <w:rPr>
          <w:rFonts w:ascii="Times New Roman"/>
          <w:szCs w:val="32"/>
        </w:rPr>
        <w:t>&gt;的通知》（黄</w:t>
      </w:r>
      <w:r>
        <w:rPr>
          <w:rFonts w:hint="eastAsia" w:ascii="Times New Roman"/>
          <w:szCs w:val="32"/>
        </w:rPr>
        <w:t>残联</w:t>
      </w:r>
      <w:r>
        <w:rPr>
          <w:rFonts w:ascii="Times New Roman"/>
          <w:szCs w:val="32"/>
        </w:rPr>
        <w:t>发〔20</w:t>
      </w:r>
      <w:r>
        <w:rPr>
          <w:rFonts w:hint="eastAsia" w:ascii="Times New Roman"/>
          <w:szCs w:val="32"/>
        </w:rPr>
        <w:t>20</w:t>
      </w:r>
      <w:r>
        <w:rPr>
          <w:rFonts w:ascii="Times New Roman"/>
          <w:szCs w:val="32"/>
        </w:rPr>
        <w:t>〕</w:t>
      </w:r>
      <w:r>
        <w:rPr>
          <w:rFonts w:hint="eastAsia" w:ascii="Times New Roman"/>
          <w:szCs w:val="32"/>
        </w:rPr>
        <w:t>11</w:t>
      </w:r>
      <w:r>
        <w:rPr>
          <w:rFonts w:ascii="Times New Roman"/>
          <w:szCs w:val="32"/>
        </w:rPr>
        <w:t>号）</w:t>
      </w:r>
      <w:r>
        <w:rPr>
          <w:rFonts w:hint="eastAsia" w:ascii="Times New Roman"/>
          <w:szCs w:val="32"/>
        </w:rPr>
        <w:t>，对具有黄石户籍的残疾人机动轮椅车车主，2022年分配拨付资金1.3万元，实际只完成0.286万元</w:t>
      </w:r>
      <w:r>
        <w:rPr>
          <w:rFonts w:ascii="Times New Roman"/>
          <w:szCs w:val="32"/>
        </w:rPr>
        <w:t>，该项指标未完成</w:t>
      </w:r>
      <w:r>
        <w:rPr>
          <w:rFonts w:hint="eastAsia" w:ascii="Times New Roman"/>
          <w:szCs w:val="32"/>
        </w:rPr>
        <w:t>。</w:t>
      </w:r>
    </w:p>
    <w:p w14:paraId="15737E34">
      <w:pPr>
        <w:spacing w:line="560" w:lineRule="exact"/>
        <w:ind w:firstLine="632" w:firstLineChars="200"/>
        <w:rPr>
          <w:rFonts w:ascii="Times New Roman"/>
          <w:szCs w:val="32"/>
        </w:rPr>
      </w:pPr>
      <w:r>
        <w:rPr>
          <w:rFonts w:hint="eastAsia" w:ascii="Times New Roman"/>
          <w:szCs w:val="32"/>
        </w:rPr>
        <w:t>扶残助学资助申报审核及时性</w:t>
      </w:r>
      <w:r>
        <w:rPr>
          <w:rFonts w:ascii="Times New Roman"/>
          <w:szCs w:val="32"/>
        </w:rPr>
        <w:t>扣</w:t>
      </w:r>
      <w:r>
        <w:rPr>
          <w:rFonts w:hint="eastAsia" w:ascii="Times New Roman"/>
          <w:szCs w:val="32"/>
        </w:rPr>
        <w:t>1.25</w:t>
      </w:r>
      <w:r>
        <w:rPr>
          <w:rFonts w:ascii="Times New Roman"/>
          <w:szCs w:val="32"/>
        </w:rPr>
        <w:t>分，主要扣分原因是：</w:t>
      </w:r>
      <w:r>
        <w:rPr>
          <w:rFonts w:hint="eastAsia" w:ascii="Times New Roman"/>
          <w:szCs w:val="32"/>
        </w:rPr>
        <w:t>大学生助学资助申报审核工作文件要求8月31日之前完成</w:t>
      </w:r>
      <w:r>
        <w:rPr>
          <w:rFonts w:ascii="Times New Roman"/>
          <w:szCs w:val="32"/>
        </w:rPr>
        <w:t>，</w:t>
      </w:r>
      <w:r>
        <w:rPr>
          <w:rFonts w:hint="eastAsia" w:ascii="Times New Roman"/>
          <w:szCs w:val="32"/>
        </w:rPr>
        <w:t>实际统计表完成日期是9月26日，未及时</w:t>
      </w:r>
      <w:r>
        <w:rPr>
          <w:rFonts w:ascii="Times New Roman"/>
          <w:szCs w:val="32"/>
        </w:rPr>
        <w:t>完成</w:t>
      </w:r>
      <w:r>
        <w:rPr>
          <w:rFonts w:hint="eastAsia" w:ascii="Times New Roman"/>
          <w:szCs w:val="32"/>
        </w:rPr>
        <w:t>。</w:t>
      </w:r>
    </w:p>
    <w:p w14:paraId="4BE5F896">
      <w:pPr>
        <w:pStyle w:val="5"/>
        <w:spacing w:line="560" w:lineRule="exact"/>
        <w:ind w:firstLine="633"/>
        <w:rPr>
          <w:rFonts w:ascii="Times New Roman" w:hAnsi="Times New Roman"/>
          <w:kern w:val="2"/>
          <w:sz w:val="32"/>
        </w:rPr>
      </w:pPr>
      <w:r>
        <w:rPr>
          <w:rFonts w:ascii="Times New Roman" w:hAnsi="Times New Roman"/>
          <w:kern w:val="2"/>
          <w:sz w:val="32"/>
        </w:rPr>
        <w:t>4、</w:t>
      </w:r>
      <w:r>
        <w:rPr>
          <w:rFonts w:hint="eastAsia" w:ascii="Times New Roman" w:hAnsi="Times New Roman"/>
          <w:kern w:val="2"/>
          <w:sz w:val="32"/>
        </w:rPr>
        <w:t>社会</w:t>
      </w:r>
      <w:r>
        <w:rPr>
          <w:rFonts w:ascii="Times New Roman" w:hAnsi="Times New Roman"/>
          <w:kern w:val="2"/>
          <w:sz w:val="32"/>
        </w:rPr>
        <w:t>效</w:t>
      </w:r>
      <w:r>
        <w:rPr>
          <w:rFonts w:hint="eastAsia" w:ascii="Times New Roman" w:hAnsi="Times New Roman"/>
          <w:kern w:val="2"/>
          <w:sz w:val="32"/>
        </w:rPr>
        <w:t>应。权重15分，</w:t>
      </w:r>
      <w:r>
        <w:rPr>
          <w:rFonts w:ascii="Times New Roman" w:hAnsi="Times New Roman"/>
          <w:kern w:val="2"/>
          <w:sz w:val="32"/>
        </w:rPr>
        <w:t>得分</w:t>
      </w:r>
      <w:r>
        <w:rPr>
          <w:rFonts w:hint="eastAsia" w:ascii="Times New Roman" w:hAnsi="Times New Roman"/>
          <w:kern w:val="2"/>
          <w:sz w:val="32"/>
        </w:rPr>
        <w:t>13.81</w:t>
      </w:r>
      <w:r>
        <w:rPr>
          <w:rFonts w:ascii="Times New Roman" w:hAnsi="Times New Roman"/>
          <w:kern w:val="2"/>
          <w:sz w:val="32"/>
        </w:rPr>
        <w:t>分，扣</w:t>
      </w:r>
      <w:r>
        <w:rPr>
          <w:rFonts w:hint="eastAsia" w:ascii="Times New Roman" w:hAnsi="Times New Roman"/>
          <w:kern w:val="2"/>
          <w:sz w:val="32"/>
        </w:rPr>
        <w:t>1.19</w:t>
      </w:r>
      <w:r>
        <w:rPr>
          <w:rFonts w:ascii="Times New Roman" w:hAnsi="Times New Roman"/>
          <w:kern w:val="2"/>
          <w:sz w:val="32"/>
        </w:rPr>
        <w:t>分</w:t>
      </w:r>
    </w:p>
    <w:p w14:paraId="34E3BB92">
      <w:pPr>
        <w:spacing w:line="560" w:lineRule="exact"/>
        <w:ind w:firstLine="632" w:firstLineChars="200"/>
        <w:rPr>
          <w:rFonts w:ascii="Times New Roman"/>
          <w:szCs w:val="32"/>
        </w:rPr>
      </w:pPr>
      <w:r>
        <w:rPr>
          <w:rFonts w:hint="eastAsia" w:ascii="Times New Roman"/>
          <w:szCs w:val="32"/>
        </w:rPr>
        <w:t>残疾人生活水平有所提高</w:t>
      </w:r>
      <w:r>
        <w:rPr>
          <w:rFonts w:ascii="Times New Roman"/>
          <w:szCs w:val="32"/>
        </w:rPr>
        <w:t>扣0.</w:t>
      </w:r>
      <w:r>
        <w:rPr>
          <w:rFonts w:hint="eastAsia" w:ascii="Times New Roman"/>
          <w:szCs w:val="32"/>
        </w:rPr>
        <w:t>57</w:t>
      </w:r>
      <w:r>
        <w:rPr>
          <w:rFonts w:ascii="Times New Roman"/>
          <w:szCs w:val="32"/>
        </w:rPr>
        <w:t>分，主要扣分原因是：对调查问卷汇总分析，</w:t>
      </w:r>
      <w:r>
        <w:rPr>
          <w:rFonts w:hint="eastAsia" w:ascii="Times New Roman"/>
          <w:szCs w:val="32"/>
        </w:rPr>
        <w:t>受益群众对所受益项目满意度为81</w:t>
      </w:r>
      <w:r>
        <w:rPr>
          <w:rFonts w:ascii="Times New Roman"/>
          <w:szCs w:val="32"/>
        </w:rPr>
        <w:t>%，</w:t>
      </w:r>
      <w:r>
        <w:rPr>
          <w:rFonts w:hint="eastAsia" w:ascii="Times New Roman"/>
          <w:szCs w:val="32"/>
        </w:rPr>
        <w:t>表明所受益项目对其生活水平的影响效果一般</w:t>
      </w:r>
      <w:r>
        <w:rPr>
          <w:rFonts w:ascii="Times New Roman"/>
          <w:szCs w:val="32"/>
        </w:rPr>
        <w:t>。</w:t>
      </w:r>
    </w:p>
    <w:p w14:paraId="12CA4F1E">
      <w:pPr>
        <w:spacing w:line="560" w:lineRule="exact"/>
        <w:ind w:firstLine="632" w:firstLineChars="200"/>
        <w:rPr>
          <w:rFonts w:ascii="Times New Roman"/>
          <w:szCs w:val="32"/>
        </w:rPr>
      </w:pPr>
      <w:r>
        <w:rPr>
          <w:rFonts w:hint="eastAsia" w:ascii="Times New Roman"/>
          <w:szCs w:val="32"/>
        </w:rPr>
        <w:t>残疾人机动轮椅车车主出行便利程度提高扣0.38分，主要扣分原因是：</w:t>
      </w:r>
      <w:r>
        <w:rPr>
          <w:rFonts w:ascii="Times New Roman"/>
          <w:szCs w:val="32"/>
        </w:rPr>
        <w:t>对调查问卷汇总分析，</w:t>
      </w:r>
      <w:r>
        <w:rPr>
          <w:rFonts w:hint="eastAsia" w:ascii="Times New Roman"/>
          <w:szCs w:val="32"/>
        </w:rPr>
        <w:t>受益群众对包含残疾人机动轮椅车车主出行便利程度满意度为81</w:t>
      </w:r>
      <w:r>
        <w:rPr>
          <w:rFonts w:ascii="Times New Roman"/>
          <w:szCs w:val="32"/>
        </w:rPr>
        <w:t>%</w:t>
      </w:r>
      <w:r>
        <w:rPr>
          <w:rFonts w:hint="eastAsia" w:ascii="Times New Roman"/>
          <w:szCs w:val="32"/>
        </w:rPr>
        <w:t>。</w:t>
      </w:r>
    </w:p>
    <w:p w14:paraId="113A2C88">
      <w:pPr>
        <w:spacing w:line="560" w:lineRule="exact"/>
        <w:ind w:firstLine="632" w:firstLineChars="200"/>
        <w:rPr>
          <w:rFonts w:ascii="Times New Roman"/>
          <w:szCs w:val="32"/>
        </w:rPr>
      </w:pPr>
      <w:r>
        <w:rPr>
          <w:rFonts w:ascii="Times New Roman"/>
          <w:szCs w:val="32"/>
        </w:rPr>
        <w:t>残疾人享有公共文化服务水平提高</w:t>
      </w:r>
      <w:r>
        <w:rPr>
          <w:rFonts w:hint="eastAsia" w:ascii="Times New Roman"/>
          <w:szCs w:val="32"/>
        </w:rPr>
        <w:t>扣0.24分，主要扣分原因是：</w:t>
      </w:r>
      <w:r>
        <w:rPr>
          <w:rFonts w:ascii="Times New Roman"/>
          <w:szCs w:val="32"/>
        </w:rPr>
        <w:t>对调查问卷汇总分析，</w:t>
      </w:r>
      <w:r>
        <w:rPr>
          <w:rFonts w:hint="eastAsia" w:ascii="Times New Roman"/>
          <w:szCs w:val="32"/>
        </w:rPr>
        <w:t>受益群众对</w:t>
      </w:r>
      <w:r>
        <w:rPr>
          <w:rFonts w:ascii="Times New Roman"/>
          <w:szCs w:val="32"/>
        </w:rPr>
        <w:t>公共文化服务水平</w:t>
      </w:r>
      <w:r>
        <w:rPr>
          <w:rFonts w:hint="eastAsia" w:ascii="Times New Roman"/>
          <w:szCs w:val="32"/>
        </w:rPr>
        <w:t>满意度为88</w:t>
      </w:r>
      <w:r>
        <w:rPr>
          <w:rFonts w:ascii="Times New Roman"/>
          <w:szCs w:val="32"/>
        </w:rPr>
        <w:t>%</w:t>
      </w:r>
      <w:r>
        <w:rPr>
          <w:rFonts w:hint="eastAsia" w:ascii="Times New Roman"/>
          <w:szCs w:val="32"/>
        </w:rPr>
        <w:t>。</w:t>
      </w:r>
    </w:p>
    <w:p w14:paraId="7B3B6E11">
      <w:pPr>
        <w:pStyle w:val="5"/>
        <w:numPr>
          <w:ilvl w:val="0"/>
          <w:numId w:val="1"/>
        </w:numPr>
        <w:spacing w:line="560" w:lineRule="exact"/>
        <w:ind w:firstLine="633"/>
        <w:rPr>
          <w:sz w:val="32"/>
        </w:rPr>
      </w:pPr>
      <w:r>
        <w:rPr>
          <w:rFonts w:hint="eastAsia" w:ascii="Times New Roman"/>
          <w:sz w:val="32"/>
        </w:rPr>
        <w:t>可持续发展能力。</w:t>
      </w:r>
      <w:r>
        <w:rPr>
          <w:rFonts w:hint="eastAsia" w:ascii="Times New Roman" w:hAnsi="Times New Roman"/>
          <w:kern w:val="2"/>
          <w:sz w:val="32"/>
        </w:rPr>
        <w:t>权重6分，</w:t>
      </w:r>
      <w:r>
        <w:rPr>
          <w:rFonts w:ascii="Times New Roman" w:hAnsi="Times New Roman"/>
          <w:kern w:val="2"/>
          <w:sz w:val="32"/>
        </w:rPr>
        <w:t>得分</w:t>
      </w:r>
      <w:r>
        <w:rPr>
          <w:rFonts w:hint="eastAsia" w:ascii="Times New Roman" w:hAnsi="Times New Roman"/>
          <w:kern w:val="2"/>
          <w:sz w:val="32"/>
        </w:rPr>
        <w:t>6</w:t>
      </w:r>
      <w:r>
        <w:rPr>
          <w:rFonts w:ascii="Times New Roman" w:hAnsi="Times New Roman"/>
          <w:kern w:val="2"/>
          <w:sz w:val="32"/>
        </w:rPr>
        <w:t>分，</w:t>
      </w:r>
      <w:r>
        <w:rPr>
          <w:rFonts w:hint="eastAsia" w:ascii="Times New Roman" w:hAnsi="Times New Roman"/>
          <w:kern w:val="2"/>
          <w:sz w:val="32"/>
        </w:rPr>
        <w:t>未扣</w:t>
      </w:r>
      <w:r>
        <w:rPr>
          <w:rFonts w:ascii="Times New Roman" w:hAnsi="Times New Roman"/>
          <w:kern w:val="2"/>
          <w:sz w:val="32"/>
        </w:rPr>
        <w:t>分</w:t>
      </w:r>
    </w:p>
    <w:p w14:paraId="110E364E">
      <w:pPr>
        <w:ind w:firstLine="632" w:firstLineChars="200"/>
      </w:pPr>
      <w:r>
        <w:rPr>
          <w:rFonts w:hint="eastAsia"/>
          <w:szCs w:val="32"/>
        </w:rPr>
        <w:t>体制机制改革、人才及科技支撑</w:t>
      </w:r>
      <w:r>
        <w:rPr>
          <w:rFonts w:hint="eastAsia" w:ascii="Times New Roman"/>
        </w:rPr>
        <w:t>均达到设定目标，该部分不扣分</w:t>
      </w:r>
      <w:r>
        <w:rPr>
          <w:rFonts w:hint="eastAsia"/>
          <w:szCs w:val="32"/>
        </w:rPr>
        <w:t>。</w:t>
      </w:r>
    </w:p>
    <w:p w14:paraId="37E0E8DA">
      <w:pPr>
        <w:pStyle w:val="5"/>
        <w:numPr>
          <w:ilvl w:val="0"/>
          <w:numId w:val="1"/>
        </w:numPr>
        <w:spacing w:line="560" w:lineRule="exact"/>
        <w:ind w:firstLine="633"/>
        <w:rPr>
          <w:sz w:val="32"/>
        </w:rPr>
      </w:pPr>
      <w:r>
        <w:rPr>
          <w:rFonts w:hint="eastAsia"/>
          <w:sz w:val="32"/>
        </w:rPr>
        <w:t>满意度。权重4分，得分3.76分，扣0.24分</w:t>
      </w:r>
    </w:p>
    <w:p w14:paraId="23780567">
      <w:pPr>
        <w:ind w:firstLine="630"/>
        <w:rPr>
          <w:rFonts w:ascii="Times New Roman"/>
          <w:szCs w:val="32"/>
        </w:rPr>
      </w:pPr>
      <w:r>
        <w:rPr>
          <w:rFonts w:hint="eastAsia"/>
          <w:szCs w:val="32"/>
        </w:rPr>
        <w:t>接受服务的残疾人或家属满意度扣0.24分，主要扣分原因是</w:t>
      </w:r>
      <w:r>
        <w:rPr>
          <w:rFonts w:ascii="Times New Roman"/>
          <w:szCs w:val="32"/>
        </w:rPr>
        <w:t>对调查问卷汇总分析，</w:t>
      </w:r>
      <w:r>
        <w:rPr>
          <w:rFonts w:hint="eastAsia" w:ascii="Times New Roman"/>
          <w:szCs w:val="32"/>
        </w:rPr>
        <w:t>受益群众对残疾人联合会的服务态度及工作效率的满意程度为88%。</w:t>
      </w:r>
      <w:bookmarkEnd w:id="1"/>
      <w:bookmarkStart w:id="2" w:name="_Toc40281670"/>
    </w:p>
    <w:p w14:paraId="56508961">
      <w:pPr>
        <w:pStyle w:val="5"/>
        <w:spacing w:line="560" w:lineRule="exact"/>
        <w:ind w:firstLine="633"/>
        <w:rPr>
          <w:rFonts w:ascii="Times New Roman" w:hAnsi="Times New Roman" w:eastAsia="楷体"/>
          <w:sz w:val="32"/>
        </w:rPr>
      </w:pPr>
      <w:r>
        <w:rPr>
          <w:rFonts w:hint="eastAsia" w:ascii="Times New Roman" w:hAnsi="Times New Roman" w:eastAsia="楷体"/>
          <w:sz w:val="32"/>
        </w:rPr>
        <w:t>（三）主要成效、</w:t>
      </w:r>
      <w:r>
        <w:rPr>
          <w:rFonts w:ascii="Times New Roman" w:hAnsi="Times New Roman" w:eastAsia="楷体"/>
          <w:sz w:val="32"/>
        </w:rPr>
        <w:t>存在的</w:t>
      </w:r>
      <w:r>
        <w:rPr>
          <w:rFonts w:hint="eastAsia" w:ascii="Times New Roman" w:hAnsi="Times New Roman" w:eastAsia="楷体"/>
          <w:sz w:val="32"/>
        </w:rPr>
        <w:t>突出</w:t>
      </w:r>
      <w:r>
        <w:rPr>
          <w:rFonts w:ascii="Times New Roman" w:hAnsi="Times New Roman" w:eastAsia="楷体"/>
          <w:sz w:val="32"/>
        </w:rPr>
        <w:t>问题</w:t>
      </w:r>
      <w:bookmarkEnd w:id="2"/>
      <w:r>
        <w:rPr>
          <w:rFonts w:ascii="Times New Roman" w:hAnsi="Times New Roman" w:eastAsia="楷体"/>
          <w:sz w:val="32"/>
        </w:rPr>
        <w:t>和原因</w:t>
      </w:r>
    </w:p>
    <w:p w14:paraId="5F5FCEDF">
      <w:pPr>
        <w:numPr>
          <w:ilvl w:val="0"/>
          <w:numId w:val="2"/>
        </w:numPr>
        <w:ind w:firstLine="632" w:firstLineChars="200"/>
        <w:rPr>
          <w:rFonts w:ascii="Times New Roman"/>
          <w:b/>
          <w:bCs/>
          <w:szCs w:val="32"/>
        </w:rPr>
      </w:pPr>
      <w:r>
        <w:rPr>
          <w:rFonts w:ascii="Times New Roman"/>
          <w:b/>
          <w:bCs/>
          <w:szCs w:val="32"/>
        </w:rPr>
        <w:t>以前年度结果应用的情况</w:t>
      </w:r>
    </w:p>
    <w:p w14:paraId="0EB1F01D">
      <w:pPr>
        <w:ind w:firstLine="632" w:firstLineChars="200"/>
        <w:rPr>
          <w:rFonts w:ascii="Times New Roman"/>
          <w:szCs w:val="32"/>
        </w:rPr>
      </w:pPr>
      <w:r>
        <w:rPr>
          <w:rFonts w:hint="eastAsia" w:ascii="Times New Roman"/>
          <w:szCs w:val="32"/>
        </w:rPr>
        <w:t>该部门以前年度未做过整体绩效评价。</w:t>
      </w:r>
    </w:p>
    <w:p w14:paraId="0BEA9F7A">
      <w:pPr>
        <w:ind w:firstLine="632" w:firstLineChars="200"/>
        <w:rPr>
          <w:rFonts w:ascii="Times New Roman"/>
          <w:b/>
          <w:bCs/>
          <w:szCs w:val="32"/>
        </w:rPr>
      </w:pPr>
      <w:r>
        <w:rPr>
          <w:rFonts w:ascii="Times New Roman"/>
          <w:b/>
          <w:bCs/>
          <w:szCs w:val="32"/>
        </w:rPr>
        <w:t>2、本年度</w:t>
      </w:r>
      <w:r>
        <w:rPr>
          <w:rFonts w:hint="eastAsia" w:ascii="Times New Roman"/>
          <w:b/>
          <w:bCs/>
          <w:szCs w:val="32"/>
        </w:rPr>
        <w:t>本部门主要成效、</w:t>
      </w:r>
      <w:r>
        <w:rPr>
          <w:rFonts w:ascii="Times New Roman"/>
          <w:b/>
          <w:bCs/>
          <w:szCs w:val="32"/>
        </w:rPr>
        <w:t>绩效存在的问题和原因</w:t>
      </w:r>
    </w:p>
    <w:p w14:paraId="7FBB2F9E">
      <w:pPr>
        <w:spacing w:line="560" w:lineRule="exact"/>
        <w:ind w:firstLine="632" w:firstLineChars="200"/>
        <w:rPr>
          <w:rFonts w:ascii="Times New Roman"/>
          <w:szCs w:val="32"/>
        </w:rPr>
      </w:pPr>
      <w:r>
        <w:rPr>
          <w:rFonts w:ascii="Times New Roman"/>
          <w:szCs w:val="32"/>
        </w:rPr>
        <w:t>（1）</w:t>
      </w:r>
      <w:r>
        <w:rPr>
          <w:rFonts w:hint="eastAsia" w:ascii="Times New Roman"/>
          <w:szCs w:val="32"/>
        </w:rPr>
        <w:t>预算调整过多</w:t>
      </w:r>
    </w:p>
    <w:p w14:paraId="48E16B8A">
      <w:pPr>
        <w:spacing w:line="560" w:lineRule="exact"/>
        <w:ind w:firstLine="632" w:firstLineChars="200"/>
        <w:rPr>
          <w:bCs/>
        </w:rPr>
      </w:pPr>
      <w:r>
        <w:rPr>
          <w:rFonts w:hint="eastAsia"/>
          <w:bCs/>
        </w:rPr>
        <w:t>本年部门总体预算调整率212%，其中基本支出调整率7.76%，主要原因为当年在编人员中有一人去世，引起相应的支出变动；项目支出调整率295%，主要原因为预决算口径不一致（预算只含本级资金，决算包含上级资金）。</w:t>
      </w:r>
    </w:p>
    <w:p w14:paraId="14FBAC55">
      <w:pPr>
        <w:spacing w:line="560" w:lineRule="exact"/>
        <w:ind w:firstLine="632" w:firstLineChars="200"/>
        <w:rPr>
          <w:rFonts w:ascii="Times New Roman"/>
          <w:szCs w:val="32"/>
        </w:rPr>
      </w:pPr>
      <w:r>
        <w:rPr>
          <w:rFonts w:ascii="Times New Roman"/>
          <w:szCs w:val="32"/>
        </w:rPr>
        <w:t>（2）</w:t>
      </w:r>
      <w:r>
        <w:rPr>
          <w:rFonts w:hint="eastAsia" w:ascii="Times New Roman"/>
          <w:szCs w:val="32"/>
        </w:rPr>
        <w:t>绩效目标设定不合理</w:t>
      </w:r>
    </w:p>
    <w:p w14:paraId="63381EB0">
      <w:pPr>
        <w:spacing w:line="560" w:lineRule="exact"/>
        <w:ind w:firstLine="632" w:firstLineChars="200"/>
        <w:rPr>
          <w:rFonts w:ascii="Times New Roman"/>
          <w:szCs w:val="32"/>
          <w:highlight w:val="yellow"/>
        </w:rPr>
      </w:pPr>
      <w:r>
        <w:rPr>
          <w:rFonts w:hint="eastAsia" w:ascii="Times New Roman"/>
          <w:szCs w:val="32"/>
        </w:rPr>
        <w:t>残疾人机动车燃油补助按预定金额设置目标，实际因被补助人死亡等客观原因，2021年、2022年均未完成目标金额</w:t>
      </w:r>
      <w:r>
        <w:rPr>
          <w:rFonts w:ascii="Times New Roman"/>
          <w:szCs w:val="32"/>
        </w:rPr>
        <w:t>。</w:t>
      </w:r>
    </w:p>
    <w:p w14:paraId="294D2617">
      <w:pPr>
        <w:spacing w:line="560" w:lineRule="exact"/>
        <w:ind w:firstLine="632" w:firstLineChars="200"/>
        <w:rPr>
          <w:rFonts w:ascii="Times New Roman"/>
          <w:szCs w:val="32"/>
        </w:rPr>
      </w:pPr>
      <w:r>
        <w:rPr>
          <w:rFonts w:ascii="Times New Roman"/>
          <w:szCs w:val="32"/>
        </w:rPr>
        <w:t>（3）</w:t>
      </w:r>
      <w:r>
        <w:rPr>
          <w:rFonts w:hint="eastAsia" w:ascii="Times New Roman"/>
          <w:szCs w:val="32"/>
        </w:rPr>
        <w:t>助学审核统计</w:t>
      </w:r>
      <w:r>
        <w:rPr>
          <w:rFonts w:ascii="Times New Roman"/>
          <w:szCs w:val="32"/>
        </w:rPr>
        <w:t>不及时</w:t>
      </w:r>
    </w:p>
    <w:p w14:paraId="1D724576">
      <w:pPr>
        <w:spacing w:line="560" w:lineRule="exact"/>
        <w:ind w:firstLine="632" w:firstLineChars="200"/>
        <w:rPr>
          <w:rFonts w:ascii="Times New Roman"/>
          <w:szCs w:val="32"/>
        </w:rPr>
      </w:pPr>
      <w:r>
        <w:rPr>
          <w:rFonts w:hint="eastAsia" w:ascii="Times New Roman"/>
          <w:szCs w:val="32"/>
        </w:rPr>
        <w:t>大学生资助统计表文件规定应于8月31日完成，实际完成统计时间为9月26日。</w:t>
      </w:r>
    </w:p>
    <w:p w14:paraId="65867CAE">
      <w:pPr>
        <w:pStyle w:val="5"/>
        <w:spacing w:line="560" w:lineRule="exact"/>
        <w:ind w:firstLine="633"/>
        <w:rPr>
          <w:rFonts w:ascii="Times New Roman" w:hAnsi="Times New Roman" w:eastAsia="楷体"/>
          <w:sz w:val="32"/>
        </w:rPr>
      </w:pPr>
      <w:bookmarkStart w:id="3" w:name="_Toc40281671"/>
      <w:r>
        <w:rPr>
          <w:rFonts w:ascii="Times New Roman" w:hAnsi="Times New Roman" w:eastAsia="楷体"/>
          <w:sz w:val="32"/>
        </w:rPr>
        <w:t>（四）下一步拟</w:t>
      </w:r>
      <w:bookmarkEnd w:id="3"/>
      <w:r>
        <w:rPr>
          <w:rFonts w:ascii="Times New Roman" w:hAnsi="Times New Roman" w:eastAsia="楷体"/>
          <w:sz w:val="32"/>
        </w:rPr>
        <w:t>改进措施</w:t>
      </w:r>
    </w:p>
    <w:p w14:paraId="13532F84">
      <w:pPr>
        <w:ind w:firstLine="632" w:firstLineChars="200"/>
        <w:rPr>
          <w:rFonts w:ascii="Times New Roman"/>
          <w:b/>
          <w:bCs/>
          <w:szCs w:val="32"/>
        </w:rPr>
      </w:pPr>
      <w:r>
        <w:rPr>
          <w:rFonts w:ascii="Times New Roman"/>
          <w:b/>
          <w:bCs/>
          <w:szCs w:val="32"/>
        </w:rPr>
        <w:t>1、</w:t>
      </w:r>
      <w:bookmarkStart w:id="4" w:name="_Hlk148189123"/>
      <w:r>
        <w:rPr>
          <w:rFonts w:hint="eastAsia" w:ascii="Times New Roman"/>
          <w:b/>
          <w:bCs/>
          <w:szCs w:val="32"/>
        </w:rPr>
        <w:t>合理设定绩效目标</w:t>
      </w:r>
      <w:bookmarkEnd w:id="4"/>
    </w:p>
    <w:p w14:paraId="4D7B85C7">
      <w:pPr>
        <w:spacing w:line="560" w:lineRule="exact"/>
        <w:ind w:firstLine="632" w:firstLineChars="200"/>
        <w:rPr>
          <w:rFonts w:ascii="Times New Roman"/>
          <w:szCs w:val="32"/>
        </w:rPr>
      </w:pPr>
      <w:r>
        <w:rPr>
          <w:rFonts w:hint="eastAsia" w:ascii="Times New Roman"/>
          <w:szCs w:val="32"/>
        </w:rPr>
        <w:t>为</w:t>
      </w:r>
      <w:r>
        <w:rPr>
          <w:rFonts w:ascii="Times New Roman"/>
          <w:szCs w:val="32"/>
        </w:rPr>
        <w:t>进一步加强科学的绩效</w:t>
      </w:r>
      <w:r>
        <w:rPr>
          <w:rFonts w:hint="eastAsia" w:ascii="Times New Roman"/>
          <w:szCs w:val="32"/>
        </w:rPr>
        <w:t>目标</w:t>
      </w:r>
      <w:r>
        <w:rPr>
          <w:rFonts w:ascii="Times New Roman"/>
          <w:szCs w:val="32"/>
        </w:rPr>
        <w:t>设置，建议将绩效</w:t>
      </w:r>
      <w:r>
        <w:rPr>
          <w:rFonts w:hint="eastAsia" w:ascii="Times New Roman"/>
          <w:szCs w:val="32"/>
        </w:rPr>
        <w:t>目</w:t>
      </w:r>
      <w:r>
        <w:rPr>
          <w:rFonts w:ascii="Times New Roman"/>
          <w:szCs w:val="32"/>
        </w:rPr>
        <w:t>标与</w:t>
      </w:r>
      <w:r>
        <w:rPr>
          <w:rFonts w:hint="eastAsia" w:ascii="Times New Roman"/>
          <w:szCs w:val="32"/>
        </w:rPr>
        <w:t>实际情况结合</w:t>
      </w:r>
      <w:r>
        <w:rPr>
          <w:rFonts w:ascii="Times New Roman"/>
          <w:szCs w:val="32"/>
        </w:rPr>
        <w:t>，为以后的绩效目标管理工作提供基础。</w:t>
      </w:r>
    </w:p>
    <w:p w14:paraId="1B69624A">
      <w:pPr>
        <w:spacing w:line="560" w:lineRule="exact"/>
        <w:ind w:firstLine="632" w:firstLineChars="200"/>
        <w:rPr>
          <w:rFonts w:ascii="Times New Roman"/>
          <w:b/>
          <w:bCs/>
          <w:szCs w:val="32"/>
        </w:rPr>
      </w:pPr>
      <w:r>
        <w:rPr>
          <w:rFonts w:ascii="Times New Roman"/>
          <w:b/>
          <w:bCs/>
          <w:szCs w:val="32"/>
        </w:rPr>
        <w:t>2、</w:t>
      </w:r>
      <w:r>
        <w:rPr>
          <w:rFonts w:hint="eastAsia" w:ascii="Times New Roman"/>
          <w:b/>
          <w:bCs/>
          <w:szCs w:val="32"/>
        </w:rPr>
        <w:t>拟与预算安排相结合情况</w:t>
      </w:r>
    </w:p>
    <w:p w14:paraId="1E1EDDFA">
      <w:pPr>
        <w:spacing w:line="560" w:lineRule="exact"/>
        <w:ind w:firstLine="632" w:firstLineChars="200"/>
        <w:rPr>
          <w:rFonts w:ascii="Times New Roman"/>
          <w:szCs w:val="32"/>
        </w:rPr>
      </w:pPr>
      <w:r>
        <w:rPr>
          <w:rFonts w:hint="eastAsia" w:ascii="Times New Roman"/>
          <w:szCs w:val="32"/>
        </w:rPr>
        <w:t>建议完善预决算管理，统一口径、降低预算调整率</w:t>
      </w:r>
      <w:r>
        <w:rPr>
          <w:rFonts w:ascii="Times New Roman"/>
          <w:szCs w:val="32"/>
        </w:rPr>
        <w:t>。</w:t>
      </w:r>
    </w:p>
    <w:p w14:paraId="5CB4E176">
      <w:pPr>
        <w:pStyle w:val="4"/>
        <w:topLinePunct/>
        <w:spacing w:line="560" w:lineRule="exact"/>
        <w:ind w:firstLine="630"/>
        <w:rPr>
          <w:rFonts w:ascii="Times New Roman" w:hAnsi="Times New Roman"/>
          <w:b w:val="0"/>
          <w:sz w:val="32"/>
        </w:rPr>
      </w:pPr>
      <w:bookmarkStart w:id="5" w:name="_Toc40281672"/>
      <w:r>
        <w:rPr>
          <w:rFonts w:ascii="Times New Roman" w:hAnsi="Times New Roman"/>
          <w:b w:val="0"/>
          <w:sz w:val="32"/>
        </w:rPr>
        <w:t>二、佐证</w:t>
      </w:r>
      <w:r>
        <w:rPr>
          <w:rFonts w:hint="eastAsia" w:ascii="Times New Roman" w:hAnsi="Times New Roman"/>
          <w:b w:val="0"/>
          <w:sz w:val="32"/>
        </w:rPr>
        <w:t>材料</w:t>
      </w:r>
      <w:bookmarkEnd w:id="5"/>
      <w:bookmarkStart w:id="6" w:name="_Toc40281673"/>
    </w:p>
    <w:bookmarkEnd w:id="6"/>
    <w:p w14:paraId="1BAF9149">
      <w:pPr>
        <w:pStyle w:val="5"/>
        <w:spacing w:line="560" w:lineRule="exact"/>
        <w:ind w:firstLine="633"/>
        <w:rPr>
          <w:rFonts w:ascii="Times New Roman" w:hAnsi="Times New Roman" w:eastAsia="楷体"/>
          <w:sz w:val="32"/>
          <w:szCs w:val="36"/>
        </w:rPr>
      </w:pPr>
      <w:r>
        <w:rPr>
          <w:rFonts w:ascii="Times New Roman" w:hAnsi="Times New Roman" w:eastAsia="楷体"/>
          <w:sz w:val="32"/>
          <w:szCs w:val="36"/>
        </w:rPr>
        <w:t>（一）基本情况</w:t>
      </w:r>
    </w:p>
    <w:p w14:paraId="34D47F01">
      <w:pPr>
        <w:spacing w:line="560" w:lineRule="exact"/>
        <w:ind w:firstLine="632" w:firstLineChars="200"/>
        <w:rPr>
          <w:rFonts w:ascii="Times New Roman"/>
          <w:b/>
          <w:bCs/>
          <w:szCs w:val="32"/>
        </w:rPr>
      </w:pPr>
      <w:r>
        <w:rPr>
          <w:rFonts w:ascii="Times New Roman"/>
          <w:b/>
          <w:bCs/>
          <w:szCs w:val="32"/>
        </w:rPr>
        <w:t>1、</w:t>
      </w:r>
      <w:r>
        <w:rPr>
          <w:rFonts w:hint="eastAsia" w:ascii="Times New Roman"/>
          <w:b/>
          <w:bCs/>
          <w:szCs w:val="32"/>
        </w:rPr>
        <w:t>部门支出情况</w:t>
      </w:r>
    </w:p>
    <w:p w14:paraId="38F703E6">
      <w:pPr>
        <w:spacing w:line="560" w:lineRule="exact"/>
        <w:ind w:firstLine="632" w:firstLineChars="200"/>
        <w:rPr>
          <w:rFonts w:ascii="Times New Roman"/>
          <w:szCs w:val="32"/>
        </w:rPr>
      </w:pPr>
      <w:r>
        <w:rPr>
          <w:rFonts w:hint="eastAsia" w:ascii="Times New Roman"/>
          <w:szCs w:val="32"/>
        </w:rPr>
        <w:t>根据黄石市财政局《关于下达2022年中央、省级残疾人事业发展补助及中央专项彩票公益金支持地方社会公益事业发展资金的通知》（黄财社发</w:t>
      </w:r>
      <w:r>
        <w:rPr>
          <w:rFonts w:ascii="Times New Roman"/>
          <w:szCs w:val="32"/>
        </w:rPr>
        <w:t>〔20</w:t>
      </w:r>
      <w:r>
        <w:rPr>
          <w:rFonts w:hint="eastAsia" w:ascii="Times New Roman"/>
          <w:szCs w:val="32"/>
        </w:rPr>
        <w:t>22</w:t>
      </w:r>
      <w:r>
        <w:rPr>
          <w:rFonts w:ascii="Times New Roman"/>
          <w:szCs w:val="32"/>
        </w:rPr>
        <w:t>〕</w:t>
      </w:r>
      <w:r>
        <w:rPr>
          <w:rFonts w:hint="eastAsia" w:ascii="Times New Roman"/>
          <w:szCs w:val="32"/>
        </w:rPr>
        <w:t>180</w:t>
      </w:r>
      <w:r>
        <w:rPr>
          <w:rFonts w:ascii="Times New Roman"/>
          <w:szCs w:val="32"/>
        </w:rPr>
        <w:t>号</w:t>
      </w:r>
      <w:r>
        <w:rPr>
          <w:rFonts w:hint="eastAsia" w:ascii="Times New Roman"/>
          <w:szCs w:val="32"/>
        </w:rPr>
        <w:t>）、黄石市财政局《关于下达2022年中央下财政残疾人事业发展补助资金预算的通知》（黄财社发</w:t>
      </w:r>
      <w:r>
        <w:rPr>
          <w:rFonts w:ascii="Times New Roman"/>
          <w:szCs w:val="32"/>
        </w:rPr>
        <w:t>〔20</w:t>
      </w:r>
      <w:r>
        <w:rPr>
          <w:rFonts w:hint="eastAsia" w:ascii="Times New Roman"/>
          <w:szCs w:val="32"/>
        </w:rPr>
        <w:t>22</w:t>
      </w:r>
      <w:r>
        <w:rPr>
          <w:rFonts w:ascii="Times New Roman"/>
          <w:szCs w:val="32"/>
        </w:rPr>
        <w:t>〕</w:t>
      </w:r>
      <w:r>
        <w:rPr>
          <w:rFonts w:hint="eastAsia" w:ascii="Times New Roman"/>
          <w:szCs w:val="32"/>
        </w:rPr>
        <w:t>45</w:t>
      </w:r>
      <w:r>
        <w:rPr>
          <w:rFonts w:ascii="Times New Roman"/>
          <w:szCs w:val="32"/>
        </w:rPr>
        <w:t>号</w:t>
      </w:r>
      <w:r>
        <w:rPr>
          <w:rFonts w:hint="eastAsia" w:ascii="Times New Roman"/>
          <w:szCs w:val="32"/>
        </w:rPr>
        <w:t>）</w:t>
      </w:r>
      <w:r>
        <w:rPr>
          <w:rFonts w:ascii="Times New Roman"/>
          <w:szCs w:val="32"/>
        </w:rPr>
        <w:t>等文件精神，</w:t>
      </w:r>
      <w:r>
        <w:rPr>
          <w:rFonts w:hint="eastAsia" w:ascii="Times New Roman"/>
          <w:szCs w:val="32"/>
        </w:rPr>
        <w:t>西塞山区残疾人联合会2022年共分配中央和省级财政残疾人事业发展补助及中央专项彩票公益金支持地方社会公益事业发展资金120.25万元。</w:t>
      </w:r>
      <w:r>
        <w:rPr>
          <w:rFonts w:ascii="Times New Roman"/>
          <w:szCs w:val="32"/>
        </w:rPr>
        <w:t>主要用于</w:t>
      </w:r>
      <w:r>
        <w:rPr>
          <w:rFonts w:hint="eastAsia" w:ascii="Times New Roman"/>
          <w:szCs w:val="32"/>
        </w:rPr>
        <w:t>残疾人康复（2万元）、阳光家园计划（12.75万元）、残疾人家庭无障碍改造（10.5万元）、残疾人儿童康复救助（58万元）、残疾人家庭无障碍改造（35万元）、残疾人康复（2万元）</w:t>
      </w:r>
      <w:r>
        <w:rPr>
          <w:rFonts w:ascii="Times New Roman"/>
          <w:szCs w:val="32"/>
        </w:rPr>
        <w:t>。</w:t>
      </w:r>
    </w:p>
    <w:p w14:paraId="14630ECC">
      <w:pPr>
        <w:spacing w:line="560" w:lineRule="exact"/>
        <w:ind w:firstLine="632" w:firstLineChars="200"/>
        <w:rPr>
          <w:rFonts w:ascii="Times New Roman"/>
          <w:szCs w:val="32"/>
        </w:rPr>
      </w:pPr>
      <w:r>
        <w:rPr>
          <w:rFonts w:hint="eastAsia" w:ascii="Times New Roman"/>
          <w:szCs w:val="32"/>
        </w:rPr>
        <w:t>结合《2022年西塞山区残联整体支出绩效自评报告》、2022年度决算报表及其他相关资料，西塞山区残疾人联合会共支出528.62万元，其中基本支出52.70万元，项目支出共475.92万元（其中财政拨款391.93万元，其他资金83.99万元）</w:t>
      </w:r>
      <w:r>
        <w:rPr>
          <w:rFonts w:ascii="Times New Roman"/>
          <w:szCs w:val="32"/>
        </w:rPr>
        <w:t>。</w:t>
      </w:r>
    </w:p>
    <w:p w14:paraId="0FBA2489">
      <w:pPr>
        <w:numPr>
          <w:ilvl w:val="0"/>
          <w:numId w:val="2"/>
        </w:numPr>
        <w:spacing w:line="560" w:lineRule="exact"/>
        <w:ind w:firstLine="632" w:firstLineChars="200"/>
        <w:rPr>
          <w:rFonts w:ascii="Times New Roman"/>
          <w:b/>
          <w:bCs/>
          <w:szCs w:val="32"/>
        </w:rPr>
      </w:pPr>
      <w:r>
        <w:rPr>
          <w:rFonts w:hint="eastAsia" w:ascii="Times New Roman"/>
          <w:b/>
          <w:bCs/>
          <w:szCs w:val="32"/>
        </w:rPr>
        <w:t>部门重点工作</w:t>
      </w:r>
    </w:p>
    <w:p w14:paraId="4701EC34">
      <w:pPr>
        <w:numPr>
          <w:ilvl w:val="0"/>
          <w:numId w:val="3"/>
        </w:numPr>
        <w:spacing w:line="560" w:lineRule="exact"/>
        <w:ind w:firstLine="641" w:firstLineChars="203"/>
        <w:rPr>
          <w:rFonts w:ascii="Times New Roman"/>
          <w:szCs w:val="32"/>
        </w:rPr>
      </w:pPr>
      <w:r>
        <w:rPr>
          <w:rFonts w:hint="eastAsia" w:ascii="Times New Roman"/>
          <w:szCs w:val="32"/>
        </w:rPr>
        <w:t>按照《中国残疾人联合会章程》，在区委、区政府的领导和市残联的指导下开展工作，协助区政府研究制定和实施残疾人事业的发展规划，加强业务领域的学习和指导。</w:t>
      </w:r>
    </w:p>
    <w:p w14:paraId="5A714644">
      <w:pPr>
        <w:numPr>
          <w:ilvl w:val="0"/>
          <w:numId w:val="3"/>
        </w:numPr>
        <w:spacing w:line="560" w:lineRule="exact"/>
        <w:ind w:firstLine="641" w:firstLineChars="203"/>
        <w:rPr>
          <w:rFonts w:ascii="Times New Roman"/>
          <w:szCs w:val="32"/>
        </w:rPr>
      </w:pPr>
      <w:r>
        <w:rPr>
          <w:rFonts w:hint="eastAsia" w:ascii="Times New Roman"/>
          <w:szCs w:val="32"/>
        </w:rPr>
        <w:t>宣传贯彻执行党和国家有关残疾人工作的方针、政策和法律法规；教育引导残疾人自尊、自信、自强、自立，为中国特色社会主义现代化建设贡献力量。</w:t>
      </w:r>
    </w:p>
    <w:p w14:paraId="6701D4E7">
      <w:pPr>
        <w:numPr>
          <w:ilvl w:val="0"/>
          <w:numId w:val="3"/>
        </w:numPr>
        <w:spacing w:line="560" w:lineRule="exact"/>
        <w:ind w:firstLine="641" w:firstLineChars="203"/>
        <w:rPr>
          <w:rFonts w:ascii="Times New Roman"/>
          <w:szCs w:val="32"/>
        </w:rPr>
      </w:pPr>
      <w:r>
        <w:rPr>
          <w:rFonts w:hint="eastAsia" w:ascii="Times New Roman"/>
          <w:szCs w:val="32"/>
        </w:rPr>
        <w:t>建立政府、社会与残疾人之间的联系，动员全社会理解、尊重、关心、帮助残疾人，听取残疾人意见，反映残疾人需求，维护残疾人权益。</w:t>
      </w:r>
    </w:p>
    <w:p w14:paraId="2F4715D2">
      <w:pPr>
        <w:numPr>
          <w:ilvl w:val="0"/>
          <w:numId w:val="3"/>
        </w:numPr>
        <w:spacing w:line="560" w:lineRule="exact"/>
        <w:ind w:firstLine="641" w:firstLineChars="203"/>
        <w:rPr>
          <w:rFonts w:ascii="Times New Roman"/>
          <w:szCs w:val="32"/>
        </w:rPr>
      </w:pPr>
      <w:r>
        <w:rPr>
          <w:rFonts w:hint="eastAsia" w:ascii="Times New Roman"/>
          <w:szCs w:val="32"/>
        </w:rPr>
        <w:t>开展残疾人劳动就业、康复服务、宣传文化、教育扶贫、信纺维权、社会保障、用品用具、无障碍设施和残疾预防等工作，创造良好条件和环境，促进残疾人平等参与社会生活。</w:t>
      </w:r>
    </w:p>
    <w:p w14:paraId="75BA8CFA">
      <w:pPr>
        <w:numPr>
          <w:ilvl w:val="0"/>
          <w:numId w:val="3"/>
        </w:numPr>
        <w:spacing w:line="560" w:lineRule="exact"/>
        <w:ind w:firstLine="641" w:firstLineChars="203"/>
        <w:rPr>
          <w:rFonts w:ascii="Times New Roman"/>
          <w:szCs w:val="32"/>
        </w:rPr>
      </w:pPr>
      <w:r>
        <w:rPr>
          <w:rFonts w:hint="eastAsia" w:ascii="Times New Roman"/>
          <w:szCs w:val="32"/>
        </w:rPr>
        <w:t>加强档案规范化管理工作，充分发挥档案管理的作用。根据全市档案工作目标管理的要求，做好本部门档案目标管理工作。</w:t>
      </w:r>
    </w:p>
    <w:p w14:paraId="3AD4B312">
      <w:pPr>
        <w:numPr>
          <w:ilvl w:val="0"/>
          <w:numId w:val="3"/>
        </w:numPr>
        <w:spacing w:line="560" w:lineRule="exact"/>
        <w:ind w:firstLine="641" w:firstLineChars="203"/>
        <w:rPr>
          <w:rFonts w:ascii="Times New Roman"/>
          <w:szCs w:val="32"/>
        </w:rPr>
      </w:pPr>
      <w:r>
        <w:rPr>
          <w:rFonts w:hint="eastAsia" w:ascii="Times New Roman"/>
          <w:szCs w:val="32"/>
        </w:rPr>
        <w:t>承担区残疾人工作委员会的日常工作，做好综合组织、协调和服务。</w:t>
      </w:r>
    </w:p>
    <w:p w14:paraId="01DC2207">
      <w:pPr>
        <w:numPr>
          <w:ilvl w:val="0"/>
          <w:numId w:val="3"/>
        </w:numPr>
        <w:spacing w:line="560" w:lineRule="exact"/>
        <w:ind w:firstLine="641" w:firstLineChars="203"/>
        <w:rPr>
          <w:rFonts w:ascii="Times New Roman"/>
          <w:szCs w:val="32"/>
        </w:rPr>
      </w:pPr>
      <w:r>
        <w:rPr>
          <w:rFonts w:hint="eastAsia" w:ascii="Times New Roman"/>
          <w:szCs w:val="32"/>
        </w:rPr>
        <w:t>指导基层残联开展工作，加强各类残疾人社团组织监督管理。</w:t>
      </w:r>
    </w:p>
    <w:p w14:paraId="5A1E9EBD">
      <w:pPr>
        <w:numPr>
          <w:ilvl w:val="0"/>
          <w:numId w:val="3"/>
        </w:numPr>
        <w:spacing w:line="560" w:lineRule="exact"/>
        <w:ind w:firstLine="641" w:firstLineChars="203"/>
        <w:rPr>
          <w:rFonts w:ascii="Times New Roman"/>
          <w:szCs w:val="32"/>
        </w:rPr>
      </w:pPr>
      <w:r>
        <w:rPr>
          <w:rFonts w:hint="eastAsia" w:ascii="Times New Roman"/>
          <w:szCs w:val="32"/>
        </w:rPr>
        <w:t>监督、管理审核全区残疾人证发放工作，组织对残疾人等级认定工作，建立残疾人数据库。</w:t>
      </w:r>
    </w:p>
    <w:p w14:paraId="263AFE69">
      <w:pPr>
        <w:numPr>
          <w:ilvl w:val="0"/>
          <w:numId w:val="3"/>
        </w:numPr>
        <w:spacing w:line="560" w:lineRule="exact"/>
        <w:ind w:firstLine="641" w:firstLineChars="203"/>
        <w:rPr>
          <w:rFonts w:ascii="Times New Roman"/>
          <w:szCs w:val="32"/>
        </w:rPr>
      </w:pPr>
      <w:r>
        <w:rPr>
          <w:rFonts w:hint="eastAsia" w:ascii="Times New Roman"/>
          <w:szCs w:val="32"/>
        </w:rPr>
        <w:t>完成上级部门和区委、区政府交办的其他工作。</w:t>
      </w:r>
    </w:p>
    <w:p w14:paraId="09F5AE55">
      <w:pPr>
        <w:numPr>
          <w:ilvl w:val="0"/>
          <w:numId w:val="2"/>
        </w:numPr>
        <w:spacing w:line="560" w:lineRule="exact"/>
        <w:ind w:firstLine="632" w:firstLineChars="200"/>
        <w:rPr>
          <w:rFonts w:ascii="Times New Roman"/>
          <w:b/>
          <w:bCs/>
          <w:szCs w:val="32"/>
        </w:rPr>
      </w:pPr>
      <w:r>
        <w:rPr>
          <w:rFonts w:hint="eastAsia" w:ascii="Times New Roman"/>
          <w:b/>
          <w:bCs/>
          <w:szCs w:val="32"/>
        </w:rPr>
        <w:t>年度部门整体绩效目标</w:t>
      </w:r>
    </w:p>
    <w:p w14:paraId="79A26AF5">
      <w:pPr>
        <w:numPr>
          <w:ilvl w:val="0"/>
          <w:numId w:val="4"/>
        </w:numPr>
        <w:tabs>
          <w:tab w:val="left" w:pos="0"/>
        </w:tabs>
        <w:spacing w:line="560" w:lineRule="exact"/>
        <w:ind w:firstLine="641" w:firstLineChars="203"/>
        <w:rPr>
          <w:rFonts w:ascii="Times New Roman"/>
          <w:szCs w:val="32"/>
        </w:rPr>
      </w:pPr>
      <w:r>
        <w:rPr>
          <w:rFonts w:ascii="Times New Roman"/>
          <w:szCs w:val="32"/>
        </w:rPr>
        <w:t>根据</w:t>
      </w:r>
      <w:r>
        <w:rPr>
          <w:rFonts w:hint="eastAsia" w:ascii="Times New Roman"/>
          <w:szCs w:val="32"/>
        </w:rPr>
        <w:t>黄石市残疾人联合会</w:t>
      </w:r>
      <w:r>
        <w:rPr>
          <w:rFonts w:ascii="Times New Roman"/>
          <w:szCs w:val="32"/>
        </w:rPr>
        <w:t>《</w:t>
      </w:r>
      <w:r>
        <w:rPr>
          <w:rFonts w:hint="eastAsia" w:ascii="Times New Roman"/>
          <w:szCs w:val="32"/>
        </w:rPr>
        <w:t>关于印发</w:t>
      </w:r>
      <w:r>
        <w:rPr>
          <w:rFonts w:ascii="Times New Roman"/>
          <w:szCs w:val="32"/>
        </w:rPr>
        <w:t>&lt;</w:t>
      </w:r>
      <w:r>
        <w:rPr>
          <w:rFonts w:hint="eastAsia" w:ascii="Times New Roman"/>
          <w:szCs w:val="32"/>
        </w:rPr>
        <w:t>2022年黄石市残疾儿童康复求助项目实施方案&gt;的通知</w:t>
      </w:r>
      <w:r>
        <w:rPr>
          <w:rFonts w:ascii="Times New Roman"/>
          <w:szCs w:val="32"/>
        </w:rPr>
        <w:t>》（</w:t>
      </w:r>
      <w:r>
        <w:rPr>
          <w:rFonts w:hint="eastAsia" w:ascii="Times New Roman"/>
          <w:szCs w:val="32"/>
        </w:rPr>
        <w:t>黄残联</w:t>
      </w:r>
      <w:r>
        <w:rPr>
          <w:rFonts w:ascii="Times New Roman"/>
          <w:szCs w:val="32"/>
        </w:rPr>
        <w:t>发〔20</w:t>
      </w:r>
      <w:r>
        <w:rPr>
          <w:rFonts w:hint="eastAsia" w:ascii="Times New Roman"/>
          <w:szCs w:val="32"/>
        </w:rPr>
        <w:t>22</w:t>
      </w:r>
      <w:r>
        <w:rPr>
          <w:rFonts w:ascii="Times New Roman"/>
          <w:szCs w:val="32"/>
        </w:rPr>
        <w:t>〕</w:t>
      </w:r>
      <w:r>
        <w:rPr>
          <w:rFonts w:hint="eastAsia" w:ascii="Times New Roman"/>
          <w:szCs w:val="32"/>
        </w:rPr>
        <w:t>1</w:t>
      </w:r>
      <w:r>
        <w:rPr>
          <w:rFonts w:ascii="Times New Roman"/>
          <w:szCs w:val="32"/>
        </w:rPr>
        <w:t>号）</w:t>
      </w:r>
      <w:r>
        <w:rPr>
          <w:rFonts w:hint="eastAsia" w:ascii="Times New Roman"/>
          <w:szCs w:val="32"/>
        </w:rPr>
        <w:t>，为80名0-15岁符合救助条件的残疾儿童提供康复救助，主要通过在定点机构训练的方式，0-6岁每人每年补贴康复训练费1.6万元，由国家彩票公益金补贴；7-10岁每人每年补贴康复训练经费1万元，由省级经费补贴；11-15岁每人每年补贴康复训练经费1万元，城区康复补贴经费按分级负担，由市残联、城区残联各承担50%。受助对象经费需在补贴标准内据实结算，扣除统筹医疗报销或受助对象中断康复产生的结余经费，可用于补贴其他救助对象的康复训练。</w:t>
      </w:r>
    </w:p>
    <w:p w14:paraId="12CF4A54">
      <w:pPr>
        <w:numPr>
          <w:ilvl w:val="0"/>
          <w:numId w:val="4"/>
        </w:numPr>
        <w:tabs>
          <w:tab w:val="left" w:pos="0"/>
        </w:tabs>
        <w:spacing w:line="560" w:lineRule="exact"/>
        <w:ind w:firstLine="641" w:firstLineChars="203"/>
        <w:rPr>
          <w:rFonts w:ascii="Times New Roman"/>
          <w:szCs w:val="32"/>
        </w:rPr>
      </w:pPr>
      <w:r>
        <w:rPr>
          <w:rFonts w:hint="eastAsia" w:ascii="Times New Roman"/>
          <w:szCs w:val="32"/>
        </w:rPr>
        <w:t>根据黄石市残疾人联合会</w:t>
      </w:r>
      <w:r>
        <w:rPr>
          <w:rFonts w:ascii="Times New Roman"/>
          <w:szCs w:val="32"/>
        </w:rPr>
        <w:t>《</w:t>
      </w:r>
      <w:r>
        <w:rPr>
          <w:rFonts w:hint="eastAsia" w:ascii="Times New Roman"/>
          <w:szCs w:val="32"/>
        </w:rPr>
        <w:t>关于印发</w:t>
      </w:r>
      <w:r>
        <w:rPr>
          <w:rFonts w:ascii="Times New Roman"/>
          <w:szCs w:val="32"/>
        </w:rPr>
        <w:t>&lt;</w:t>
      </w:r>
      <w:r>
        <w:rPr>
          <w:rFonts w:hint="eastAsia" w:ascii="Times New Roman"/>
          <w:szCs w:val="32"/>
        </w:rPr>
        <w:t>2022年黄石市城区困难精神病患者服药救助实施方案&gt;的通知</w:t>
      </w:r>
      <w:r>
        <w:rPr>
          <w:rFonts w:ascii="Times New Roman"/>
          <w:szCs w:val="32"/>
        </w:rPr>
        <w:t>》（</w:t>
      </w:r>
      <w:r>
        <w:rPr>
          <w:rFonts w:hint="eastAsia" w:ascii="Times New Roman"/>
          <w:szCs w:val="32"/>
        </w:rPr>
        <w:t>黄残联</w:t>
      </w:r>
      <w:r>
        <w:rPr>
          <w:rFonts w:ascii="Times New Roman"/>
          <w:szCs w:val="32"/>
        </w:rPr>
        <w:t>发〔20</w:t>
      </w:r>
      <w:r>
        <w:rPr>
          <w:rFonts w:hint="eastAsia" w:ascii="Times New Roman"/>
          <w:szCs w:val="32"/>
        </w:rPr>
        <w:t>22</w:t>
      </w:r>
      <w:r>
        <w:rPr>
          <w:rFonts w:ascii="Times New Roman"/>
          <w:szCs w:val="32"/>
        </w:rPr>
        <w:t>〕</w:t>
      </w:r>
      <w:r>
        <w:rPr>
          <w:rFonts w:hint="eastAsia" w:ascii="Times New Roman"/>
          <w:szCs w:val="32"/>
        </w:rPr>
        <w:t>3</w:t>
      </w:r>
      <w:r>
        <w:rPr>
          <w:rFonts w:ascii="Times New Roman"/>
          <w:szCs w:val="32"/>
        </w:rPr>
        <w:t>号）</w:t>
      </w:r>
      <w:r>
        <w:rPr>
          <w:rFonts w:hint="eastAsia" w:ascii="Times New Roman"/>
          <w:szCs w:val="32"/>
        </w:rPr>
        <w:t>，对户籍在本城区，持有第二代《残疾人证》、家庭困难的精神残疾人，经具有资质的精神科医师确诊，目前需要服药治疗的精神病患者，由本人或法定监护人自愿申请并书面同意接受免费服药补贴，每人每个给予500元，由市残联、城区残联各承担50%（西塞山区分配救助总人数600人，总金额30万元）。</w:t>
      </w:r>
    </w:p>
    <w:p w14:paraId="3AABB62F">
      <w:pPr>
        <w:numPr>
          <w:ilvl w:val="0"/>
          <w:numId w:val="4"/>
        </w:numPr>
        <w:tabs>
          <w:tab w:val="left" w:pos="0"/>
        </w:tabs>
        <w:spacing w:line="560" w:lineRule="exact"/>
        <w:ind w:firstLine="641" w:firstLineChars="203"/>
        <w:rPr>
          <w:rFonts w:ascii="Times New Roman"/>
          <w:szCs w:val="32"/>
        </w:rPr>
      </w:pPr>
      <w:r>
        <w:rPr>
          <w:rFonts w:hint="eastAsia" w:ascii="Times New Roman"/>
          <w:szCs w:val="32"/>
        </w:rPr>
        <w:t>根据黄石市残疾人联合会</w:t>
      </w:r>
      <w:r>
        <w:rPr>
          <w:rFonts w:ascii="Times New Roman"/>
          <w:szCs w:val="32"/>
        </w:rPr>
        <w:t>《关于</w:t>
      </w:r>
      <w:r>
        <w:rPr>
          <w:rFonts w:hint="eastAsia" w:ascii="Times New Roman"/>
          <w:szCs w:val="32"/>
        </w:rPr>
        <w:t>追加</w:t>
      </w:r>
      <w:r>
        <w:rPr>
          <w:rFonts w:ascii="Times New Roman"/>
          <w:szCs w:val="32"/>
        </w:rPr>
        <w:t>&lt;</w:t>
      </w:r>
      <w:r>
        <w:rPr>
          <w:rFonts w:hint="eastAsia" w:ascii="Times New Roman"/>
          <w:szCs w:val="32"/>
        </w:rPr>
        <w:t>2022年度困难残疾人无障碍改造任务</w:t>
      </w:r>
      <w:r>
        <w:rPr>
          <w:rFonts w:ascii="Times New Roman"/>
          <w:szCs w:val="32"/>
        </w:rPr>
        <w:t>&gt;的通知》（黄</w:t>
      </w:r>
      <w:r>
        <w:rPr>
          <w:rFonts w:hint="eastAsia" w:ascii="Times New Roman"/>
          <w:szCs w:val="32"/>
        </w:rPr>
        <w:t>残联</w:t>
      </w:r>
      <w:r>
        <w:rPr>
          <w:rFonts w:ascii="Times New Roman"/>
          <w:szCs w:val="32"/>
        </w:rPr>
        <w:t>发〔20</w:t>
      </w:r>
      <w:r>
        <w:rPr>
          <w:rFonts w:hint="eastAsia" w:ascii="Times New Roman"/>
          <w:szCs w:val="32"/>
        </w:rPr>
        <w:t>22</w:t>
      </w:r>
      <w:r>
        <w:rPr>
          <w:rFonts w:ascii="Times New Roman"/>
          <w:szCs w:val="32"/>
        </w:rPr>
        <w:t>〕</w:t>
      </w:r>
      <w:r>
        <w:rPr>
          <w:rFonts w:hint="eastAsia" w:ascii="Times New Roman"/>
          <w:szCs w:val="32"/>
        </w:rPr>
        <w:t>5</w:t>
      </w:r>
      <w:r>
        <w:rPr>
          <w:rFonts w:ascii="Times New Roman"/>
          <w:szCs w:val="32"/>
        </w:rPr>
        <w:t>号）</w:t>
      </w:r>
      <w:r>
        <w:rPr>
          <w:rFonts w:hint="eastAsia" w:ascii="Times New Roman"/>
          <w:szCs w:val="32"/>
        </w:rPr>
        <w:t>，对困难重度残疾人家庭或80岁以上持证残疾人家庭或扩大范围的有改造需求的非低保、非重度残疾人家庭，中央、省两级按平均每户3500元下拨补助资金，主要为居家无障碍个性改造或改善配建，西塞山区分配任务为150户，文件规定需在2022年11月前完成改造任务。</w:t>
      </w:r>
    </w:p>
    <w:p w14:paraId="159A3D19">
      <w:pPr>
        <w:numPr>
          <w:ilvl w:val="0"/>
          <w:numId w:val="4"/>
        </w:numPr>
        <w:tabs>
          <w:tab w:val="left" w:pos="0"/>
        </w:tabs>
        <w:spacing w:line="560" w:lineRule="exact"/>
        <w:ind w:firstLine="641" w:firstLineChars="203"/>
        <w:rPr>
          <w:rFonts w:ascii="Times New Roman"/>
          <w:szCs w:val="32"/>
        </w:rPr>
      </w:pPr>
      <w:r>
        <w:rPr>
          <w:rFonts w:hint="eastAsia" w:ascii="Times New Roman"/>
          <w:szCs w:val="32"/>
        </w:rPr>
        <w:t>根据黄石市残疾人联合会</w:t>
      </w:r>
      <w:r>
        <w:rPr>
          <w:rFonts w:ascii="Times New Roman"/>
          <w:szCs w:val="32"/>
        </w:rPr>
        <w:t>《</w:t>
      </w:r>
      <w:r>
        <w:rPr>
          <w:rFonts w:hint="eastAsia" w:ascii="Times New Roman"/>
          <w:szCs w:val="32"/>
        </w:rPr>
        <w:t>关于切实做好2022年度城区“阳光家园计划”残疾人托养服务工作的通知</w:t>
      </w:r>
      <w:r>
        <w:rPr>
          <w:rFonts w:ascii="Times New Roman"/>
          <w:szCs w:val="32"/>
        </w:rPr>
        <w:t>》（</w:t>
      </w:r>
      <w:r>
        <w:rPr>
          <w:rFonts w:hint="eastAsia" w:ascii="Times New Roman"/>
          <w:szCs w:val="32"/>
        </w:rPr>
        <w:t>黄残联</w:t>
      </w:r>
      <w:r>
        <w:rPr>
          <w:rFonts w:ascii="Times New Roman"/>
          <w:szCs w:val="32"/>
        </w:rPr>
        <w:t>发〔20</w:t>
      </w:r>
      <w:r>
        <w:rPr>
          <w:rFonts w:hint="eastAsia" w:ascii="Times New Roman"/>
          <w:szCs w:val="32"/>
        </w:rPr>
        <w:t>22</w:t>
      </w:r>
      <w:r>
        <w:rPr>
          <w:rFonts w:ascii="Times New Roman"/>
          <w:szCs w:val="32"/>
        </w:rPr>
        <w:t>〕</w:t>
      </w:r>
      <w:r>
        <w:rPr>
          <w:rFonts w:hint="eastAsia" w:ascii="Times New Roman"/>
          <w:szCs w:val="32"/>
        </w:rPr>
        <w:t>7</w:t>
      </w:r>
      <w:r>
        <w:rPr>
          <w:rFonts w:ascii="Times New Roman"/>
          <w:szCs w:val="32"/>
        </w:rPr>
        <w:t>号）</w:t>
      </w:r>
      <w:r>
        <w:rPr>
          <w:rFonts w:hint="eastAsia" w:ascii="Times New Roman"/>
          <w:szCs w:val="32"/>
        </w:rPr>
        <w:t>，对符合条件的残疾人托养服务对象提供基本生活照料和护理等上门服务，服务标准按30元/小时作为竞争性磋商的最高限价，确保每个残疾人家庭项目年度内能享受75小时，每次上门服务为3小时。</w:t>
      </w:r>
    </w:p>
    <w:p w14:paraId="632B6F59">
      <w:pPr>
        <w:numPr>
          <w:ilvl w:val="0"/>
          <w:numId w:val="4"/>
        </w:numPr>
        <w:tabs>
          <w:tab w:val="left" w:pos="0"/>
        </w:tabs>
        <w:spacing w:line="560" w:lineRule="exact"/>
        <w:ind w:firstLine="641" w:firstLineChars="203"/>
        <w:rPr>
          <w:rFonts w:ascii="Times New Roman"/>
          <w:szCs w:val="32"/>
        </w:rPr>
      </w:pPr>
      <w:r>
        <w:rPr>
          <w:rFonts w:hint="eastAsia" w:ascii="Times New Roman"/>
          <w:szCs w:val="32"/>
        </w:rPr>
        <w:t>根据黄石市残疾人联合会</w:t>
      </w:r>
      <w:r>
        <w:rPr>
          <w:rFonts w:ascii="Times New Roman"/>
          <w:szCs w:val="32"/>
        </w:rPr>
        <w:t>《关于</w:t>
      </w:r>
      <w:r>
        <w:rPr>
          <w:rFonts w:hint="eastAsia" w:ascii="Times New Roman"/>
          <w:szCs w:val="32"/>
        </w:rPr>
        <w:t>印发</w:t>
      </w:r>
      <w:r>
        <w:rPr>
          <w:rFonts w:ascii="Times New Roman"/>
          <w:szCs w:val="32"/>
        </w:rPr>
        <w:t>&lt;</w:t>
      </w:r>
      <w:r>
        <w:rPr>
          <w:rFonts w:hint="eastAsia" w:ascii="Times New Roman"/>
          <w:szCs w:val="32"/>
        </w:rPr>
        <w:t>黄石市残疾人机动轮椅车燃油补贴发放工作制度</w:t>
      </w:r>
      <w:r>
        <w:rPr>
          <w:rFonts w:ascii="Times New Roman"/>
          <w:szCs w:val="32"/>
        </w:rPr>
        <w:t>&gt;的通知》（黄</w:t>
      </w:r>
      <w:r>
        <w:rPr>
          <w:rFonts w:hint="eastAsia" w:ascii="Times New Roman"/>
          <w:szCs w:val="32"/>
        </w:rPr>
        <w:t>残联</w:t>
      </w:r>
      <w:r>
        <w:rPr>
          <w:rFonts w:ascii="Times New Roman"/>
          <w:szCs w:val="32"/>
        </w:rPr>
        <w:t>发〔20</w:t>
      </w:r>
      <w:r>
        <w:rPr>
          <w:rFonts w:hint="eastAsia" w:ascii="Times New Roman"/>
          <w:szCs w:val="32"/>
        </w:rPr>
        <w:t>20</w:t>
      </w:r>
      <w:r>
        <w:rPr>
          <w:rFonts w:ascii="Times New Roman"/>
          <w:szCs w:val="32"/>
        </w:rPr>
        <w:t>〕</w:t>
      </w:r>
      <w:r>
        <w:rPr>
          <w:rFonts w:hint="eastAsia" w:ascii="Times New Roman"/>
          <w:szCs w:val="32"/>
        </w:rPr>
        <w:t>11</w:t>
      </w:r>
      <w:r>
        <w:rPr>
          <w:rFonts w:ascii="Times New Roman"/>
          <w:szCs w:val="32"/>
        </w:rPr>
        <w:t>号）</w:t>
      </w:r>
      <w:r>
        <w:rPr>
          <w:rFonts w:hint="eastAsia" w:ascii="Times New Roman"/>
          <w:szCs w:val="32"/>
        </w:rPr>
        <w:t>，对具有黄石户籍的残疾人机动轮椅车车主，每辆车每年补贴260元，2022年分配拨付资金1.3万元。</w:t>
      </w:r>
    </w:p>
    <w:p w14:paraId="16EC17E0">
      <w:pPr>
        <w:numPr>
          <w:ilvl w:val="0"/>
          <w:numId w:val="4"/>
        </w:numPr>
        <w:tabs>
          <w:tab w:val="left" w:pos="0"/>
        </w:tabs>
        <w:spacing w:line="560" w:lineRule="exact"/>
        <w:ind w:firstLine="641" w:firstLineChars="203"/>
        <w:rPr>
          <w:rFonts w:ascii="Times New Roman"/>
          <w:szCs w:val="32"/>
        </w:rPr>
      </w:pPr>
      <w:r>
        <w:rPr>
          <w:rFonts w:hint="eastAsia" w:ascii="Times New Roman"/>
          <w:szCs w:val="32"/>
        </w:rPr>
        <w:t>根据湖北省残疾人联合会办公室关于印发</w:t>
      </w:r>
      <w:r>
        <w:rPr>
          <w:rFonts w:ascii="Times New Roman"/>
          <w:szCs w:val="32"/>
        </w:rPr>
        <w:t>《</w:t>
      </w:r>
      <w:r>
        <w:rPr>
          <w:rFonts w:hint="eastAsia" w:ascii="Times New Roman"/>
          <w:szCs w:val="32"/>
        </w:rPr>
        <w:t>湖北省文化进残疾人家庭“五个一”项目实施办法（试行）</w:t>
      </w:r>
      <w:r>
        <w:rPr>
          <w:rFonts w:ascii="Times New Roman"/>
          <w:szCs w:val="32"/>
        </w:rPr>
        <w:t>》</w:t>
      </w:r>
      <w:r>
        <w:rPr>
          <w:rFonts w:hint="eastAsia" w:ascii="Times New Roman"/>
          <w:szCs w:val="32"/>
        </w:rPr>
        <w:t>的通知，对有精神文化需求的残疾人家庭开展文化进残疾人家庭“五个一”项目，每年为其开展“读一本书、看一次电影、游一次园、参观一次展览、参加一次文化活动”五项文化服务，省级经费补助标准为户均500元，有条件的地区可扩大范围。</w:t>
      </w:r>
    </w:p>
    <w:p w14:paraId="089A3AF9">
      <w:pPr>
        <w:numPr>
          <w:ilvl w:val="0"/>
          <w:numId w:val="4"/>
        </w:numPr>
        <w:tabs>
          <w:tab w:val="left" w:pos="0"/>
        </w:tabs>
        <w:spacing w:line="560" w:lineRule="exact"/>
        <w:ind w:firstLine="641" w:firstLineChars="203"/>
        <w:rPr>
          <w:rFonts w:ascii="Times New Roman"/>
          <w:szCs w:val="32"/>
        </w:rPr>
      </w:pPr>
      <w:r>
        <w:rPr>
          <w:rFonts w:hint="eastAsia" w:ascii="Times New Roman"/>
          <w:szCs w:val="32"/>
        </w:rPr>
        <w:t>根据黄石市残疾人联合会</w:t>
      </w:r>
      <w:r>
        <w:rPr>
          <w:rFonts w:ascii="Times New Roman"/>
          <w:szCs w:val="32"/>
        </w:rPr>
        <w:t>《关于</w:t>
      </w:r>
      <w:r>
        <w:rPr>
          <w:rFonts w:hint="eastAsia" w:ascii="Times New Roman"/>
          <w:szCs w:val="32"/>
        </w:rPr>
        <w:t>印发</w:t>
      </w:r>
      <w:r>
        <w:rPr>
          <w:rFonts w:ascii="Times New Roman"/>
          <w:szCs w:val="32"/>
        </w:rPr>
        <w:t>&lt;</w:t>
      </w:r>
      <w:r>
        <w:rPr>
          <w:rFonts w:hint="eastAsia" w:ascii="Times New Roman"/>
          <w:szCs w:val="32"/>
        </w:rPr>
        <w:t>黄石市扶残助学管理办法</w:t>
      </w:r>
      <w:r>
        <w:rPr>
          <w:rFonts w:ascii="Times New Roman"/>
          <w:szCs w:val="32"/>
        </w:rPr>
        <w:t>&gt;的通知》（黄</w:t>
      </w:r>
      <w:r>
        <w:rPr>
          <w:rFonts w:hint="eastAsia" w:ascii="Times New Roman"/>
          <w:szCs w:val="32"/>
        </w:rPr>
        <w:t>残联</w:t>
      </w:r>
      <w:r>
        <w:rPr>
          <w:rFonts w:ascii="Times New Roman"/>
          <w:szCs w:val="32"/>
        </w:rPr>
        <w:t>发〔20</w:t>
      </w:r>
      <w:r>
        <w:rPr>
          <w:rFonts w:hint="eastAsia" w:ascii="Times New Roman"/>
          <w:szCs w:val="32"/>
        </w:rPr>
        <w:t>19</w:t>
      </w:r>
      <w:r>
        <w:rPr>
          <w:rFonts w:ascii="Times New Roman"/>
          <w:szCs w:val="32"/>
        </w:rPr>
        <w:t>〕</w:t>
      </w:r>
      <w:r>
        <w:rPr>
          <w:rFonts w:hint="eastAsia" w:ascii="Times New Roman"/>
          <w:szCs w:val="32"/>
        </w:rPr>
        <w:t>24</w:t>
      </w:r>
      <w:r>
        <w:rPr>
          <w:rFonts w:ascii="Times New Roman"/>
          <w:szCs w:val="32"/>
        </w:rPr>
        <w:t>号）</w:t>
      </w:r>
      <w:r>
        <w:rPr>
          <w:rFonts w:hint="eastAsia" w:ascii="Times New Roman"/>
          <w:szCs w:val="32"/>
        </w:rPr>
        <w:t>，对社区提供的扶残助学申请对象材料进行复审，在申请审批表上复审意见并加盖公章，填报《黄石市扶残助学统计表》，连同申请审批表及其他资料复印件一起上报市残联教育就业科，每年8月31日完成大学生助学资助申报审核工作；9月30日前完成高中阶段学生的助学申报审核工作。</w:t>
      </w:r>
    </w:p>
    <w:p w14:paraId="6BA58E89">
      <w:pPr>
        <w:numPr>
          <w:ilvl w:val="0"/>
          <w:numId w:val="4"/>
        </w:numPr>
        <w:tabs>
          <w:tab w:val="left" w:pos="0"/>
        </w:tabs>
        <w:spacing w:line="560" w:lineRule="exact"/>
        <w:ind w:firstLine="641" w:firstLineChars="203"/>
        <w:rPr>
          <w:rFonts w:ascii="Times New Roman"/>
          <w:szCs w:val="32"/>
        </w:rPr>
      </w:pPr>
      <w:r>
        <w:rPr>
          <w:rFonts w:hint="eastAsia" w:ascii="Times New Roman"/>
          <w:szCs w:val="32"/>
        </w:rPr>
        <w:t>根据《湖北省完善残疾人就业保障金制度更好促进残疾人就业的实施方案》，举办各类残疾人职业技能培训，全年至少培训80人次。</w:t>
      </w:r>
    </w:p>
    <w:p w14:paraId="719538A0">
      <w:pPr>
        <w:numPr>
          <w:ilvl w:val="0"/>
          <w:numId w:val="4"/>
        </w:numPr>
        <w:tabs>
          <w:tab w:val="left" w:pos="0"/>
        </w:tabs>
        <w:spacing w:line="560" w:lineRule="exact"/>
        <w:ind w:firstLine="641" w:firstLineChars="203"/>
        <w:rPr>
          <w:rFonts w:ascii="Times New Roman"/>
          <w:szCs w:val="32"/>
        </w:rPr>
      </w:pPr>
      <w:r>
        <w:rPr>
          <w:rFonts w:hint="eastAsia" w:ascii="Times New Roman"/>
          <w:szCs w:val="32"/>
        </w:rPr>
        <w:t>做好残疾人信访维权工作，保障残疾人合法权益。</w:t>
      </w:r>
    </w:p>
    <w:p w14:paraId="279F842F">
      <w:pPr>
        <w:numPr>
          <w:ilvl w:val="0"/>
          <w:numId w:val="4"/>
        </w:numPr>
        <w:tabs>
          <w:tab w:val="left" w:pos="0"/>
        </w:tabs>
        <w:spacing w:line="560" w:lineRule="exact"/>
        <w:ind w:firstLine="641" w:firstLineChars="203"/>
        <w:rPr>
          <w:rFonts w:ascii="Times New Roman" w:eastAsia="楷体"/>
          <w:szCs w:val="36"/>
        </w:rPr>
      </w:pPr>
      <w:r>
        <w:rPr>
          <w:rFonts w:hint="eastAsia" w:ascii="Times New Roman"/>
          <w:szCs w:val="32"/>
        </w:rPr>
        <w:t>做好残疾人法治宣传、综合治理、安全生产、意识形态、档案管理及宗教保密工作。</w:t>
      </w:r>
      <w:bookmarkStart w:id="7" w:name="_Toc40281674"/>
      <w:bookmarkStart w:id="8" w:name="_Toc40281677"/>
    </w:p>
    <w:p w14:paraId="5750A6A3">
      <w:pPr>
        <w:pStyle w:val="5"/>
        <w:ind w:firstLine="633"/>
        <w:rPr>
          <w:rFonts w:ascii="Times New Roman" w:eastAsia="楷体"/>
          <w:b w:val="0"/>
          <w:bCs w:val="0"/>
          <w:sz w:val="32"/>
          <w:szCs w:val="36"/>
        </w:rPr>
      </w:pPr>
      <w:r>
        <w:rPr>
          <w:rFonts w:hint="eastAsia" w:ascii="Times New Roman" w:eastAsia="楷体"/>
          <w:sz w:val="32"/>
          <w:szCs w:val="36"/>
        </w:rPr>
        <w:t>（二）</w:t>
      </w:r>
      <w:r>
        <w:rPr>
          <w:rFonts w:ascii="Times New Roman" w:eastAsia="楷体"/>
          <w:sz w:val="32"/>
          <w:szCs w:val="36"/>
        </w:rPr>
        <w:t>绩效评价工作开展情况</w:t>
      </w:r>
      <w:bookmarkEnd w:id="7"/>
    </w:p>
    <w:p w14:paraId="7996DD92">
      <w:pPr>
        <w:tabs>
          <w:tab w:val="left" w:pos="0"/>
        </w:tabs>
        <w:spacing w:line="560" w:lineRule="exact"/>
        <w:ind w:firstLine="948" w:firstLineChars="300"/>
        <w:rPr>
          <w:rFonts w:ascii="Times New Roman" w:eastAsia="楷体"/>
          <w:b/>
          <w:bCs/>
          <w:szCs w:val="36"/>
        </w:rPr>
      </w:pPr>
      <w:r>
        <w:rPr>
          <w:rFonts w:ascii="Times New Roman"/>
          <w:b/>
          <w:bCs/>
          <w:szCs w:val="36"/>
        </w:rPr>
        <w:t>1、评价目的、对象和范围</w:t>
      </w:r>
    </w:p>
    <w:p w14:paraId="248713B7">
      <w:pPr>
        <w:spacing w:line="560" w:lineRule="exact"/>
        <w:ind w:firstLine="632" w:firstLineChars="200"/>
        <w:rPr>
          <w:rFonts w:ascii="Times New Roman"/>
        </w:rPr>
      </w:pPr>
      <w:r>
        <w:rPr>
          <w:rFonts w:ascii="Times New Roman"/>
          <w:szCs w:val="32"/>
        </w:rPr>
        <w:t>为全面了解202</w:t>
      </w:r>
      <w:r>
        <w:rPr>
          <w:rFonts w:hint="eastAsia" w:ascii="Times New Roman"/>
          <w:szCs w:val="32"/>
        </w:rPr>
        <w:t>2</w:t>
      </w:r>
      <w:r>
        <w:rPr>
          <w:rFonts w:ascii="Times New Roman"/>
          <w:szCs w:val="32"/>
        </w:rPr>
        <w:t>年</w:t>
      </w:r>
      <w:r>
        <w:rPr>
          <w:rFonts w:hint="eastAsia" w:ascii="Times New Roman"/>
          <w:szCs w:val="32"/>
        </w:rPr>
        <w:t>黄石市西塞山区残疾人联合会部门整体预算收支、目标</w:t>
      </w:r>
      <w:r>
        <w:rPr>
          <w:rFonts w:ascii="Times New Roman"/>
          <w:szCs w:val="32"/>
        </w:rPr>
        <w:t>实施情况以及取得的综合绩效，根据</w:t>
      </w:r>
      <w:r>
        <w:rPr>
          <w:rFonts w:ascii="Times New Roman"/>
        </w:rPr>
        <w:t>财政部《关于全面实施预算绩效管理的意见》（中发〔2018〕34号文件）、湖北省财政厅</w:t>
      </w:r>
      <w:r>
        <w:rPr>
          <w:rFonts w:hint="eastAsia" w:ascii="Times New Roman"/>
        </w:rPr>
        <w:t>《</w:t>
      </w:r>
      <w:r>
        <w:rPr>
          <w:rFonts w:ascii="Times New Roman"/>
        </w:rPr>
        <w:t>关于印发全面实施预算绩效管理系列制度</w:t>
      </w:r>
      <w:r>
        <w:rPr>
          <w:rFonts w:hint="eastAsia" w:ascii="Times New Roman"/>
        </w:rPr>
        <w:t>》</w:t>
      </w:r>
      <w:r>
        <w:rPr>
          <w:rFonts w:ascii="Times New Roman"/>
        </w:rPr>
        <w:t>的通知（鄂财绩发〔2020〕3号）</w:t>
      </w:r>
      <w:r>
        <w:rPr>
          <w:rFonts w:hint="eastAsia" w:ascii="Times New Roman"/>
        </w:rPr>
        <w:t>、</w:t>
      </w:r>
      <w:r>
        <w:rPr>
          <w:rFonts w:ascii="Times New Roman"/>
        </w:rPr>
        <w:t>湖北省财政厅关于印发</w:t>
      </w:r>
      <w:r>
        <w:rPr>
          <w:rFonts w:hint="eastAsia" w:ascii="Times New Roman"/>
        </w:rPr>
        <w:t>《湖北省省直部门整体绩效管理暂行办法</w:t>
      </w:r>
      <w:r>
        <w:rPr>
          <w:rFonts w:ascii="Times New Roman"/>
        </w:rPr>
        <w:t>》</w:t>
      </w:r>
      <w:r>
        <w:rPr>
          <w:rFonts w:hint="eastAsia" w:ascii="Times New Roman"/>
        </w:rPr>
        <w:t>的通知</w:t>
      </w:r>
      <w:r>
        <w:rPr>
          <w:rFonts w:ascii="Times New Roman"/>
        </w:rPr>
        <w:t>（鄂财绩发〔202</w:t>
      </w:r>
      <w:r>
        <w:rPr>
          <w:rFonts w:hint="eastAsia" w:ascii="Times New Roman"/>
        </w:rPr>
        <w:t>3</w:t>
      </w:r>
      <w:r>
        <w:rPr>
          <w:rFonts w:ascii="Times New Roman"/>
        </w:rPr>
        <w:t>〕</w:t>
      </w:r>
      <w:r>
        <w:rPr>
          <w:rFonts w:hint="eastAsia" w:ascii="Times New Roman"/>
        </w:rPr>
        <w:t>4</w:t>
      </w:r>
      <w:r>
        <w:rPr>
          <w:rFonts w:ascii="Times New Roman"/>
        </w:rPr>
        <w:t>号）</w:t>
      </w:r>
      <w:r>
        <w:rPr>
          <w:rFonts w:hint="eastAsia" w:ascii="Times New Roman"/>
        </w:rPr>
        <w:t>、</w:t>
      </w:r>
      <w:r>
        <w:rPr>
          <w:rFonts w:ascii="Times New Roman"/>
        </w:rPr>
        <w:t>等文件的相关要求，结合评价</w:t>
      </w:r>
      <w:r>
        <w:rPr>
          <w:rFonts w:hint="eastAsia" w:ascii="Times New Roman"/>
        </w:rPr>
        <w:t>部门</w:t>
      </w:r>
      <w:r>
        <w:rPr>
          <w:rFonts w:ascii="Times New Roman"/>
        </w:rPr>
        <w:t>的情况和特点，</w:t>
      </w:r>
      <w:r>
        <w:rPr>
          <w:rFonts w:hint="eastAsia" w:ascii="Times New Roman"/>
        </w:rPr>
        <w:t>围绕部门和单位职责、行业发展规划，</w:t>
      </w:r>
      <w:r>
        <w:rPr>
          <w:rFonts w:ascii="Times New Roman"/>
        </w:rPr>
        <w:t>运用科学、规范的绩效评价方法，科学、客观、公正的对</w:t>
      </w:r>
      <w:r>
        <w:rPr>
          <w:rFonts w:ascii="Times New Roman"/>
          <w:szCs w:val="32"/>
        </w:rPr>
        <w:t>202</w:t>
      </w:r>
      <w:r>
        <w:rPr>
          <w:rFonts w:hint="eastAsia" w:ascii="Times New Roman"/>
          <w:szCs w:val="32"/>
        </w:rPr>
        <w:t>2</w:t>
      </w:r>
      <w:r>
        <w:rPr>
          <w:rFonts w:ascii="Times New Roman"/>
          <w:szCs w:val="32"/>
        </w:rPr>
        <w:t>年</w:t>
      </w:r>
      <w:r>
        <w:rPr>
          <w:rFonts w:hint="eastAsia" w:ascii="Times New Roman"/>
          <w:szCs w:val="32"/>
        </w:rPr>
        <w:t>黄石市西塞山区残疾人联合会部门整体绩效</w:t>
      </w:r>
      <w:r>
        <w:rPr>
          <w:rFonts w:ascii="Times New Roman"/>
        </w:rPr>
        <w:t>进行综合性评价。通过绩效评价，发现</w:t>
      </w:r>
      <w:r>
        <w:rPr>
          <w:rFonts w:hint="eastAsia" w:ascii="Times New Roman"/>
        </w:rPr>
        <w:t>资金管理、资产和业务活动方面</w:t>
      </w:r>
      <w:r>
        <w:rPr>
          <w:rFonts w:ascii="Times New Roman"/>
        </w:rPr>
        <w:t>存在的问题，</w:t>
      </w:r>
      <w:r>
        <w:rPr>
          <w:rFonts w:hint="eastAsia" w:ascii="Times New Roman"/>
        </w:rPr>
        <w:t>提高部门管理水平</w:t>
      </w:r>
      <w:r>
        <w:rPr>
          <w:rFonts w:ascii="Times New Roman"/>
        </w:rPr>
        <w:t>。</w:t>
      </w:r>
    </w:p>
    <w:p w14:paraId="3682BC72">
      <w:pPr>
        <w:spacing w:line="560" w:lineRule="exact"/>
        <w:ind w:firstLine="632" w:firstLineChars="200"/>
        <w:rPr>
          <w:rFonts w:ascii="Times New Roman"/>
        </w:rPr>
      </w:pPr>
      <w:r>
        <w:rPr>
          <w:rFonts w:ascii="Times New Roman"/>
        </w:rPr>
        <w:t>本次评价范围包括</w:t>
      </w:r>
      <w:r>
        <w:rPr>
          <w:rFonts w:ascii="Times New Roman"/>
          <w:szCs w:val="32"/>
        </w:rPr>
        <w:t>202</w:t>
      </w:r>
      <w:r>
        <w:rPr>
          <w:rFonts w:hint="eastAsia" w:ascii="Times New Roman"/>
          <w:szCs w:val="32"/>
        </w:rPr>
        <w:t>2</w:t>
      </w:r>
      <w:r>
        <w:rPr>
          <w:rFonts w:ascii="Times New Roman"/>
          <w:szCs w:val="32"/>
        </w:rPr>
        <w:t>年</w:t>
      </w:r>
      <w:r>
        <w:rPr>
          <w:rFonts w:hint="eastAsia" w:ascii="Times New Roman"/>
          <w:szCs w:val="32"/>
        </w:rPr>
        <w:t>黄石市西塞山区残疾人联合会部门整体</w:t>
      </w:r>
      <w:r>
        <w:rPr>
          <w:rFonts w:ascii="Times New Roman"/>
        </w:rPr>
        <w:t>的</w:t>
      </w:r>
      <w:r>
        <w:rPr>
          <w:rFonts w:hint="eastAsia" w:ascii="Times New Roman"/>
        </w:rPr>
        <w:t>运行成本</w:t>
      </w:r>
      <w:r>
        <w:rPr>
          <w:rFonts w:ascii="Times New Roman"/>
        </w:rPr>
        <w:t>、管理</w:t>
      </w:r>
      <w:r>
        <w:rPr>
          <w:rFonts w:hint="eastAsia" w:ascii="Times New Roman"/>
        </w:rPr>
        <w:t>效率</w:t>
      </w:r>
      <w:r>
        <w:rPr>
          <w:rFonts w:ascii="Times New Roman"/>
        </w:rPr>
        <w:t>、</w:t>
      </w:r>
      <w:r>
        <w:rPr>
          <w:rFonts w:hint="eastAsia" w:ascii="Times New Roman"/>
        </w:rPr>
        <w:t>履职效能</w:t>
      </w:r>
      <w:r>
        <w:rPr>
          <w:rFonts w:ascii="Times New Roman"/>
        </w:rPr>
        <w:t>、</w:t>
      </w:r>
      <w:r>
        <w:rPr>
          <w:rFonts w:hint="eastAsia" w:ascii="Times New Roman"/>
        </w:rPr>
        <w:t>社会效应、可持续发展能力</w:t>
      </w:r>
      <w:r>
        <w:rPr>
          <w:rFonts w:ascii="Times New Roman"/>
        </w:rPr>
        <w:t>及</w:t>
      </w:r>
      <w:r>
        <w:rPr>
          <w:rFonts w:hint="eastAsia" w:ascii="Times New Roman"/>
        </w:rPr>
        <w:t>满意度</w:t>
      </w:r>
      <w:r>
        <w:rPr>
          <w:rFonts w:ascii="Times New Roman"/>
        </w:rPr>
        <w:t>。</w:t>
      </w:r>
      <w:bookmarkStart w:id="9" w:name="_Hlk54186767"/>
    </w:p>
    <w:p w14:paraId="4A8ECE1E">
      <w:pPr>
        <w:numPr>
          <w:ilvl w:val="0"/>
          <w:numId w:val="5"/>
        </w:numPr>
        <w:spacing w:line="560" w:lineRule="exact"/>
        <w:ind w:firstLine="632" w:firstLineChars="200"/>
        <w:rPr>
          <w:rFonts w:ascii="Times New Roman"/>
          <w:b/>
          <w:bCs/>
          <w:szCs w:val="36"/>
        </w:rPr>
      </w:pPr>
      <w:r>
        <w:rPr>
          <w:rFonts w:hint="eastAsia" w:ascii="Times New Roman"/>
          <w:b/>
          <w:bCs/>
          <w:szCs w:val="36"/>
        </w:rPr>
        <w:t>绩效评价原则</w:t>
      </w:r>
    </w:p>
    <w:p w14:paraId="503ACD85">
      <w:pPr>
        <w:spacing w:line="560" w:lineRule="exact"/>
        <w:ind w:firstLine="632" w:firstLineChars="200"/>
        <w:rPr>
          <w:rFonts w:ascii="Times New Roman"/>
          <w:szCs w:val="36"/>
        </w:rPr>
      </w:pPr>
      <w:r>
        <w:rPr>
          <w:rFonts w:hint="eastAsia" w:ascii="Times New Roman"/>
          <w:szCs w:val="36"/>
        </w:rPr>
        <w:t>本次绩效评价遵循以下原则：</w:t>
      </w:r>
    </w:p>
    <w:p w14:paraId="513D0385">
      <w:pPr>
        <w:numPr>
          <w:ilvl w:val="0"/>
          <w:numId w:val="6"/>
        </w:numPr>
        <w:spacing w:line="560" w:lineRule="exact"/>
        <w:ind w:firstLine="632" w:firstLineChars="200"/>
        <w:rPr>
          <w:rFonts w:ascii="Times New Roman"/>
          <w:szCs w:val="36"/>
        </w:rPr>
      </w:pPr>
      <w:r>
        <w:rPr>
          <w:rFonts w:hint="eastAsia" w:ascii="Times New Roman"/>
          <w:szCs w:val="36"/>
        </w:rPr>
        <w:t>科学规范原则。本次绩效评价将严格执行规定的程序，按照科学可行的要求，采用定量与定性分析相结合的方法，对“西塞山区残疾人联合会2022年部门整体”的财政资金使用及重点工作完成情况进行绩效评价。同时，在履职效能方面将采用量化程度较高的明细指标，以取得量化数据为基础进行评分，从而降低评价人员的主观影响。</w:t>
      </w:r>
    </w:p>
    <w:p w14:paraId="26C24FD6">
      <w:pPr>
        <w:numPr>
          <w:ilvl w:val="0"/>
          <w:numId w:val="6"/>
        </w:numPr>
        <w:spacing w:line="560" w:lineRule="exact"/>
        <w:ind w:firstLine="632" w:firstLineChars="200"/>
        <w:rPr>
          <w:rFonts w:ascii="Times New Roman"/>
          <w:szCs w:val="36"/>
        </w:rPr>
      </w:pPr>
      <w:r>
        <w:rPr>
          <w:rFonts w:hint="eastAsia" w:ascii="Times New Roman"/>
          <w:szCs w:val="36"/>
        </w:rPr>
        <w:t>公正公开原则。绩效评价符合真实、客观、公正的要求，依法公开并接受监督。</w:t>
      </w:r>
    </w:p>
    <w:p w14:paraId="5323C495">
      <w:pPr>
        <w:numPr>
          <w:ilvl w:val="0"/>
          <w:numId w:val="6"/>
        </w:numPr>
        <w:spacing w:line="560" w:lineRule="exact"/>
        <w:ind w:firstLine="632" w:firstLineChars="200"/>
        <w:rPr>
          <w:rFonts w:ascii="Times New Roman"/>
          <w:szCs w:val="36"/>
        </w:rPr>
      </w:pPr>
      <w:r>
        <w:rPr>
          <w:rFonts w:hint="eastAsia" w:ascii="Times New Roman"/>
          <w:szCs w:val="36"/>
        </w:rPr>
        <w:t>突出重点原则。本次绩效评价多角度、全方位把握，综合采用各种方法予以分析研究，全面反映被评价项目的绩效。同时，注重部门的重点工作，筛选出最重要和关键的绩效因素，突出西塞山区残疾人联合会2022年部门整体工作绩效的特点。</w:t>
      </w:r>
    </w:p>
    <w:p w14:paraId="4F650A9B">
      <w:pPr>
        <w:numPr>
          <w:ilvl w:val="0"/>
          <w:numId w:val="6"/>
        </w:numPr>
        <w:spacing w:line="560" w:lineRule="exact"/>
        <w:ind w:firstLine="632" w:firstLineChars="200"/>
        <w:rPr>
          <w:rFonts w:ascii="Times New Roman"/>
          <w:szCs w:val="36"/>
        </w:rPr>
      </w:pPr>
      <w:r>
        <w:rPr>
          <w:rFonts w:hint="eastAsia" w:ascii="Times New Roman"/>
          <w:szCs w:val="36"/>
        </w:rPr>
        <w:t>绩效相关原则。本次绩效评价主要针对履职效能及社会效应绩效进行，使用的均为能够恰当反映部门目标实现程度的绩效指标。</w:t>
      </w:r>
    </w:p>
    <w:p w14:paraId="05865C8B">
      <w:pPr>
        <w:numPr>
          <w:ilvl w:val="0"/>
          <w:numId w:val="5"/>
        </w:numPr>
        <w:spacing w:line="560" w:lineRule="exact"/>
        <w:ind w:firstLine="632" w:firstLineChars="200"/>
        <w:rPr>
          <w:rFonts w:ascii="Times New Roman"/>
          <w:b/>
          <w:bCs/>
          <w:szCs w:val="36"/>
        </w:rPr>
      </w:pPr>
      <w:r>
        <w:rPr>
          <w:rFonts w:hint="eastAsia" w:ascii="Times New Roman"/>
          <w:b/>
          <w:bCs/>
          <w:szCs w:val="36"/>
        </w:rPr>
        <w:t>绩效评价指标体系</w:t>
      </w:r>
    </w:p>
    <w:p w14:paraId="6542A4E1">
      <w:pPr>
        <w:spacing w:line="560" w:lineRule="exact"/>
        <w:ind w:left="12" w:firstLine="620" w:firstLineChars="196"/>
        <w:rPr>
          <w:rFonts w:ascii="Times New Roman"/>
          <w:szCs w:val="36"/>
        </w:rPr>
      </w:pPr>
      <w:r>
        <w:rPr>
          <w:rFonts w:hint="eastAsia" w:ascii="Times New Roman"/>
          <w:szCs w:val="36"/>
        </w:rPr>
        <w:t>根据《湖北省省直部门整体绩效评价共性指标体系参考框架》的部门整体支出指标体系框架，结合工作实际，制定本次绩效评价指标体系，分为运行成本、管理效率、履职效能、社会效应、可持续发展能力及满意度六个一级指标。其中：“运行成本”为共性指标，权重8分，主要评价公用经费控制、在职人员控制及项目支出成本控制情况；“管理效率”为共性指标，权重22分，主要评价战略管理、预算编制、预算执行、绩效管理、资产管理和财务管理情况；“履职效能”为个性指标，权重45分，主要评价职责履行实际完成率、质量达标率和完成及时率；“社会效应”为个性指标，权重15分，主要评价经济效益和社会效益情况；“可持续发展能力”为共性指标，权重6分，主要评价体制机制改革、人才支撑和科技支撑；“满意度”为共性指标，权重4分，主要评价服务对象和联系部门满意度情况。同时，按照绩效评价总体要求和部门整体支出内容设计了57个三级指标（详见附表1）。</w:t>
      </w:r>
    </w:p>
    <w:p w14:paraId="01A8A4E2">
      <w:pPr>
        <w:spacing w:line="560" w:lineRule="exact"/>
        <w:ind w:left="12" w:firstLine="620" w:firstLineChars="196"/>
        <w:rPr>
          <w:rFonts w:ascii="Times New Roman"/>
          <w:szCs w:val="36"/>
        </w:rPr>
      </w:pPr>
      <w:r>
        <w:rPr>
          <w:rFonts w:hint="eastAsia" w:ascii="Times New Roman"/>
          <w:szCs w:val="36"/>
        </w:rPr>
        <w:t>绩效评价总分值100分，根据综合评分结果，评价计分90分-100分（含90分）对应的评分结果级别为优，80-90分（含80分）对应的评分结果级别为良，60-80分（含60分）对应的评分结果级别为中，60分以下对应的评分结果级别为差。</w:t>
      </w:r>
    </w:p>
    <w:p w14:paraId="4BA0359F">
      <w:pPr>
        <w:numPr>
          <w:ilvl w:val="0"/>
          <w:numId w:val="5"/>
        </w:numPr>
        <w:spacing w:line="560" w:lineRule="exact"/>
        <w:ind w:firstLine="632" w:firstLineChars="200"/>
        <w:rPr>
          <w:rFonts w:ascii="Times New Roman"/>
          <w:b/>
          <w:bCs/>
          <w:szCs w:val="36"/>
        </w:rPr>
      </w:pPr>
      <w:r>
        <w:rPr>
          <w:rFonts w:hint="eastAsia" w:ascii="Times New Roman"/>
          <w:b/>
          <w:bCs/>
          <w:szCs w:val="36"/>
        </w:rPr>
        <w:t>绩效评价方法</w:t>
      </w:r>
    </w:p>
    <w:p w14:paraId="115A6080">
      <w:pPr>
        <w:spacing w:line="560" w:lineRule="exact"/>
        <w:ind w:firstLine="641" w:firstLineChars="203"/>
        <w:rPr>
          <w:rFonts w:ascii="Times New Roman"/>
          <w:szCs w:val="36"/>
        </w:rPr>
      </w:pPr>
      <w:r>
        <w:rPr>
          <w:rFonts w:hint="eastAsia" w:ascii="Times New Roman"/>
          <w:szCs w:val="36"/>
        </w:rPr>
        <w:t>本次评价主要采用比较法、因素分析法、专家评议法和公众评判法四种方法。</w:t>
      </w:r>
    </w:p>
    <w:p w14:paraId="31227E16">
      <w:pPr>
        <w:numPr>
          <w:ilvl w:val="0"/>
          <w:numId w:val="7"/>
        </w:numPr>
        <w:spacing w:line="560" w:lineRule="exact"/>
        <w:ind w:firstLine="641" w:firstLineChars="203"/>
        <w:rPr>
          <w:rFonts w:ascii="Times New Roman"/>
          <w:szCs w:val="36"/>
        </w:rPr>
      </w:pPr>
      <w:r>
        <w:rPr>
          <w:rFonts w:hint="eastAsia" w:ascii="Times New Roman"/>
          <w:szCs w:val="36"/>
        </w:rPr>
        <w:t>比较法。通过对绩效目标与绩效结果、历史情况和考评期情况的比较，综合分析考评绩效目标完成情况的评价方法。</w:t>
      </w:r>
    </w:p>
    <w:p w14:paraId="248BECF6">
      <w:pPr>
        <w:numPr>
          <w:ilvl w:val="0"/>
          <w:numId w:val="7"/>
        </w:numPr>
        <w:spacing w:line="560" w:lineRule="exact"/>
        <w:ind w:firstLine="641" w:firstLineChars="203"/>
        <w:rPr>
          <w:rFonts w:ascii="Times New Roman"/>
          <w:szCs w:val="36"/>
        </w:rPr>
      </w:pPr>
      <w:r>
        <w:rPr>
          <w:rFonts w:hint="eastAsia" w:ascii="Times New Roman"/>
          <w:szCs w:val="36"/>
        </w:rPr>
        <w:t>因素分析法。通过分析影响目标、结果及成本的内外因素，综合分析评价绩效目标完成情况，总结项目实施过程中的经验、问题，提出项目改进建议。</w:t>
      </w:r>
    </w:p>
    <w:p w14:paraId="10EDBE2B">
      <w:pPr>
        <w:numPr>
          <w:ilvl w:val="0"/>
          <w:numId w:val="7"/>
        </w:numPr>
        <w:spacing w:line="560" w:lineRule="exact"/>
        <w:ind w:firstLine="641" w:firstLineChars="203"/>
        <w:rPr>
          <w:rFonts w:ascii="Times New Roman"/>
          <w:szCs w:val="36"/>
        </w:rPr>
      </w:pPr>
      <w:r>
        <w:rPr>
          <w:rFonts w:hint="eastAsia" w:ascii="Times New Roman"/>
          <w:szCs w:val="36"/>
        </w:rPr>
        <w:t>专家评议法。在定量和定性分析的基础上，以打分等方式做出定量评价。根据需求邀请相关专家组成评价小组，到项目单位采取勘察、问询、复核、访谈等方式，对有关情况进行核实，对掌握的有关资料进行整理分析，及时提供专业的咨询意见，专家根据评价标准和行业经验进行评分。</w:t>
      </w:r>
    </w:p>
    <w:p w14:paraId="3DBABAD0">
      <w:pPr>
        <w:numPr>
          <w:ilvl w:val="0"/>
          <w:numId w:val="7"/>
        </w:numPr>
        <w:spacing w:line="560" w:lineRule="exact"/>
        <w:ind w:firstLine="641" w:firstLineChars="203"/>
        <w:rPr>
          <w:rFonts w:ascii="Times New Roman" w:eastAsia="楷体"/>
          <w:szCs w:val="36"/>
        </w:rPr>
      </w:pPr>
      <w:r>
        <w:rPr>
          <w:rFonts w:hint="eastAsia" w:ascii="Times New Roman"/>
          <w:szCs w:val="36"/>
        </w:rPr>
        <w:t>公众评判法。通过专家评估、公众问卷及抽样调查等方式，对财政支出的效率性和效益性进行评判，评价绩效目标的实现程度。</w:t>
      </w:r>
    </w:p>
    <w:p w14:paraId="52C3F830">
      <w:pPr>
        <w:numPr>
          <w:ilvl w:val="0"/>
          <w:numId w:val="5"/>
        </w:numPr>
        <w:spacing w:line="560" w:lineRule="exact"/>
        <w:ind w:firstLine="632" w:firstLineChars="200"/>
        <w:rPr>
          <w:rFonts w:ascii="Times New Roman"/>
          <w:b/>
          <w:bCs/>
          <w:szCs w:val="36"/>
        </w:rPr>
      </w:pPr>
      <w:r>
        <w:rPr>
          <w:rFonts w:ascii="Times New Roman"/>
          <w:b/>
          <w:bCs/>
          <w:szCs w:val="36"/>
        </w:rPr>
        <w:t>评价</w:t>
      </w:r>
      <w:r>
        <w:rPr>
          <w:rFonts w:hint="eastAsia" w:ascii="Times New Roman"/>
          <w:b/>
          <w:bCs/>
          <w:szCs w:val="36"/>
        </w:rPr>
        <w:t>依据</w:t>
      </w:r>
      <w:bookmarkEnd w:id="9"/>
      <w:bookmarkStart w:id="10" w:name="_Toc40281675"/>
      <w:bookmarkStart w:id="11" w:name="_Hlk53735985"/>
    </w:p>
    <w:p w14:paraId="0F7EA0FA">
      <w:pPr>
        <w:spacing w:line="560" w:lineRule="exact"/>
        <w:ind w:left="632" w:leftChars="200"/>
        <w:rPr>
          <w:rFonts w:hAnsi="仿宋_GB2312" w:cs="仿宋_GB2312"/>
          <w:szCs w:val="32"/>
        </w:rPr>
      </w:pPr>
      <w:r>
        <w:rPr>
          <w:rFonts w:hint="eastAsia" w:hAnsi="仿宋_GB2312" w:cs="仿宋_GB2312"/>
          <w:szCs w:val="32"/>
        </w:rPr>
        <w:t>（1）绩效评价管理文件</w:t>
      </w:r>
    </w:p>
    <w:p w14:paraId="6DF2E9FB">
      <w:pPr>
        <w:adjustRightInd w:val="0"/>
        <w:snapToGrid w:val="0"/>
        <w:spacing w:line="580" w:lineRule="exact"/>
        <w:ind w:firstLine="632" w:firstLineChars="200"/>
        <w:rPr>
          <w:rFonts w:hAnsi="仿宋_GB2312" w:cs="仿宋_GB2312"/>
          <w:szCs w:val="32"/>
        </w:rPr>
      </w:pPr>
      <w:r>
        <w:rPr>
          <w:rFonts w:hint="eastAsia" w:hAnsi="仿宋_GB2312" w:cs="仿宋_GB2312"/>
          <w:szCs w:val="32"/>
        </w:rPr>
        <w:t>《中华人民共和国预算法实施条例》</w:t>
      </w:r>
    </w:p>
    <w:p w14:paraId="79F40432">
      <w:pPr>
        <w:adjustRightInd w:val="0"/>
        <w:snapToGrid w:val="0"/>
        <w:spacing w:line="580" w:lineRule="exact"/>
        <w:ind w:firstLine="632" w:firstLineChars="200"/>
        <w:rPr>
          <w:rFonts w:hAnsi="仿宋_GB2312" w:cs="仿宋_GB2312"/>
          <w:szCs w:val="32"/>
        </w:rPr>
      </w:pPr>
      <w:r>
        <w:rPr>
          <w:rFonts w:hint="eastAsia" w:hAnsi="仿宋_GB2312" w:cs="仿宋_GB2312"/>
          <w:szCs w:val="32"/>
        </w:rPr>
        <w:t xml:space="preserve">《湖北省财政厅关于印发&lt;湖北省省直部门整体绩效管理暂行办法&gt;的通知》（鄂财绩发〔2023〕4号）； </w:t>
      </w:r>
    </w:p>
    <w:p w14:paraId="37478C1D">
      <w:pPr>
        <w:adjustRightInd w:val="0"/>
        <w:snapToGrid w:val="0"/>
        <w:spacing w:line="580" w:lineRule="exact"/>
        <w:ind w:firstLine="632" w:firstLineChars="200"/>
        <w:rPr>
          <w:rFonts w:hAnsi="仿宋_GB2312" w:cs="仿宋_GB2312"/>
          <w:szCs w:val="32"/>
        </w:rPr>
      </w:pPr>
      <w:r>
        <w:rPr>
          <w:rFonts w:hint="eastAsia" w:hAnsi="仿宋_GB2312" w:cs="仿宋_GB2312"/>
          <w:szCs w:val="32"/>
        </w:rPr>
        <w:t>《湖北省财政厅关于印发全面实施预算绩效管理系列制度的通知》（鄂财绩发〔2020〕3号）；</w:t>
      </w:r>
    </w:p>
    <w:p w14:paraId="224FF3E8">
      <w:pPr>
        <w:adjustRightInd w:val="0"/>
        <w:snapToGrid w:val="0"/>
        <w:spacing w:line="580" w:lineRule="exact"/>
        <w:ind w:firstLine="632" w:firstLineChars="200"/>
        <w:rPr>
          <w:rFonts w:hAnsi="仿宋_GB2312" w:cs="仿宋_GB2312"/>
          <w:szCs w:val="32"/>
        </w:rPr>
      </w:pPr>
      <w:r>
        <w:rPr>
          <w:rFonts w:hint="eastAsia" w:hAnsi="仿宋_GB2312" w:cs="仿宋_GB2312"/>
          <w:szCs w:val="32"/>
        </w:rPr>
        <w:t>《湖北省财政厅关于做好当前预算绩效管理重点工作有关事项的通知》（鄂财绩发〔2020〕4号）；</w:t>
      </w:r>
    </w:p>
    <w:p w14:paraId="74C6332C">
      <w:pPr>
        <w:adjustRightInd w:val="0"/>
        <w:snapToGrid w:val="0"/>
        <w:spacing w:line="580" w:lineRule="exact"/>
        <w:ind w:firstLine="632" w:firstLineChars="200"/>
        <w:rPr>
          <w:rFonts w:hAnsi="仿宋_GB2312" w:cs="仿宋_GB2312"/>
          <w:szCs w:val="32"/>
        </w:rPr>
      </w:pPr>
      <w:r>
        <w:rPr>
          <w:rFonts w:hint="eastAsia" w:hAnsi="仿宋_GB2312" w:cs="仿宋_GB2312"/>
          <w:szCs w:val="32"/>
        </w:rPr>
        <w:t>《关于委托第三方机构参与预算绩效管理的指导意见》（财预〔2021〕6号）；</w:t>
      </w:r>
    </w:p>
    <w:p w14:paraId="1819DBF5">
      <w:pPr>
        <w:adjustRightInd w:val="0"/>
        <w:snapToGrid w:val="0"/>
        <w:spacing w:line="580" w:lineRule="exact"/>
        <w:ind w:firstLine="632" w:firstLineChars="200"/>
        <w:rPr>
          <w:rFonts w:hAnsi="仿宋_GB2312" w:cs="仿宋_GB2312"/>
          <w:szCs w:val="32"/>
        </w:rPr>
      </w:pPr>
      <w:r>
        <w:rPr>
          <w:rFonts w:hint="eastAsia" w:hAnsi="仿宋_GB2312" w:cs="仿宋_GB2312"/>
          <w:szCs w:val="32"/>
        </w:rPr>
        <w:t>《第三方机构预算绩效评价业务监督管理暂行办法》（财监〔2021〕4号）。</w:t>
      </w:r>
    </w:p>
    <w:p w14:paraId="39CE8409">
      <w:pPr>
        <w:numPr>
          <w:ilvl w:val="0"/>
          <w:numId w:val="8"/>
        </w:numPr>
        <w:adjustRightInd w:val="0"/>
        <w:snapToGrid w:val="0"/>
        <w:spacing w:line="580" w:lineRule="exact"/>
        <w:ind w:firstLine="632" w:firstLineChars="200"/>
        <w:rPr>
          <w:rFonts w:hAnsi="仿宋_GB2312" w:cs="仿宋_GB2312"/>
          <w:szCs w:val="32"/>
        </w:rPr>
      </w:pPr>
      <w:r>
        <w:rPr>
          <w:rFonts w:hint="eastAsia" w:hAnsi="仿宋_GB2312" w:cs="仿宋_GB2312"/>
          <w:szCs w:val="32"/>
        </w:rPr>
        <w:t>地方或部门相关政策、规章及文件</w:t>
      </w:r>
    </w:p>
    <w:p w14:paraId="01F535A0">
      <w:pPr>
        <w:adjustRightInd w:val="0"/>
        <w:snapToGrid w:val="0"/>
        <w:spacing w:line="580" w:lineRule="exact"/>
        <w:ind w:firstLine="632" w:firstLineChars="200"/>
        <w:rPr>
          <w:rFonts w:hAnsi="仿宋_GB2312" w:cs="仿宋_GB2312"/>
          <w:szCs w:val="32"/>
        </w:rPr>
      </w:pPr>
      <w:r>
        <w:rPr>
          <w:rFonts w:hint="eastAsia" w:hAnsi="仿宋_GB2312" w:cs="仿宋_GB2312"/>
          <w:szCs w:val="32"/>
        </w:rPr>
        <w:t>黄石市残疾人联合会《关于印发&lt;2022年黄石市残疾儿童康复求助项目实施方案&gt;的通知》（黄残联发〔2022〕1号）；</w:t>
      </w:r>
    </w:p>
    <w:p w14:paraId="3DCFA1A9">
      <w:pPr>
        <w:adjustRightInd w:val="0"/>
        <w:snapToGrid w:val="0"/>
        <w:spacing w:line="580" w:lineRule="exact"/>
        <w:ind w:firstLine="632" w:firstLineChars="200"/>
        <w:rPr>
          <w:rFonts w:hAnsi="仿宋_GB2312" w:cs="仿宋_GB2312"/>
          <w:szCs w:val="32"/>
        </w:rPr>
      </w:pPr>
      <w:r>
        <w:rPr>
          <w:rFonts w:hint="eastAsia" w:hAnsi="仿宋_GB2312" w:cs="仿宋_GB2312"/>
          <w:szCs w:val="32"/>
        </w:rPr>
        <w:t>黄石市残疾人联合会《关于印发&lt;2022年黄石市城区困难精神病患者服药救助实施方案&gt;的通知》（黄残联发〔2022〕3号）；</w:t>
      </w:r>
    </w:p>
    <w:p w14:paraId="3C7EA38D">
      <w:pPr>
        <w:adjustRightInd w:val="0"/>
        <w:snapToGrid w:val="0"/>
        <w:spacing w:line="580" w:lineRule="exact"/>
        <w:ind w:firstLine="632" w:firstLineChars="200"/>
        <w:rPr>
          <w:rFonts w:hAnsi="仿宋_GB2312" w:cs="仿宋_GB2312"/>
          <w:szCs w:val="32"/>
        </w:rPr>
      </w:pPr>
      <w:r>
        <w:rPr>
          <w:rFonts w:hint="eastAsia" w:hAnsi="仿宋_GB2312" w:cs="仿宋_GB2312"/>
          <w:szCs w:val="32"/>
        </w:rPr>
        <w:t>黄石市残疾人联合会《关于追加&lt;2022年度困难残疾人无障碍改造任务&gt;的通知》（黄残联发〔2022〕5号）；</w:t>
      </w:r>
    </w:p>
    <w:p w14:paraId="415CFC0C">
      <w:pPr>
        <w:adjustRightInd w:val="0"/>
        <w:snapToGrid w:val="0"/>
        <w:spacing w:line="580" w:lineRule="exact"/>
        <w:ind w:firstLine="632" w:firstLineChars="200"/>
        <w:rPr>
          <w:rFonts w:hAnsi="仿宋_GB2312" w:cs="仿宋_GB2312"/>
          <w:szCs w:val="32"/>
        </w:rPr>
      </w:pPr>
      <w:r>
        <w:rPr>
          <w:rFonts w:hint="eastAsia" w:hAnsi="仿宋_GB2312" w:cs="仿宋_GB2312"/>
          <w:szCs w:val="32"/>
        </w:rPr>
        <w:t>黄石市残疾人联合会《关于切实做好2022年度城区“阳光家园计划”残疾人托养服务工作的通知》（黄残联发〔2022〕7号）；</w:t>
      </w:r>
    </w:p>
    <w:p w14:paraId="030CE256">
      <w:pPr>
        <w:adjustRightInd w:val="0"/>
        <w:snapToGrid w:val="0"/>
        <w:spacing w:line="580" w:lineRule="exact"/>
        <w:ind w:firstLine="632" w:firstLineChars="200"/>
        <w:rPr>
          <w:rFonts w:hAnsi="仿宋_GB2312" w:cs="仿宋_GB2312"/>
          <w:szCs w:val="32"/>
        </w:rPr>
      </w:pPr>
      <w:r>
        <w:rPr>
          <w:rFonts w:hint="eastAsia" w:hAnsi="仿宋_GB2312" w:cs="仿宋_GB2312"/>
          <w:szCs w:val="32"/>
        </w:rPr>
        <w:t>黄石市残疾人联合会《关于印发&lt;黄石市残疾人机动轮椅车燃油补贴发放工作制度&gt;的通知》（黄残联发〔2020〕11号）；</w:t>
      </w:r>
    </w:p>
    <w:p w14:paraId="6A60467E">
      <w:pPr>
        <w:adjustRightInd w:val="0"/>
        <w:snapToGrid w:val="0"/>
        <w:spacing w:line="580" w:lineRule="exact"/>
        <w:ind w:firstLine="632" w:firstLineChars="200"/>
        <w:rPr>
          <w:rFonts w:hAnsi="仿宋_GB2312" w:cs="仿宋_GB2312"/>
          <w:szCs w:val="32"/>
        </w:rPr>
      </w:pPr>
      <w:r>
        <w:rPr>
          <w:rFonts w:hint="eastAsia" w:hAnsi="仿宋_GB2312" w:cs="仿宋_GB2312"/>
          <w:szCs w:val="32"/>
        </w:rPr>
        <w:t>湖北省残疾人联合会办公室关于印发《湖北省文化进残疾人家庭“五个一”项目实施办法（试行）》的通知；</w:t>
      </w:r>
    </w:p>
    <w:p w14:paraId="1B9EF86D">
      <w:pPr>
        <w:adjustRightInd w:val="0"/>
        <w:snapToGrid w:val="0"/>
        <w:spacing w:line="580" w:lineRule="exact"/>
        <w:ind w:firstLine="632" w:firstLineChars="200"/>
        <w:rPr>
          <w:rFonts w:hAnsi="仿宋_GB2312" w:cs="仿宋_GB2312"/>
          <w:szCs w:val="32"/>
        </w:rPr>
      </w:pPr>
      <w:r>
        <w:rPr>
          <w:rFonts w:hint="eastAsia" w:hAnsi="仿宋_GB2312" w:cs="仿宋_GB2312"/>
          <w:szCs w:val="32"/>
        </w:rPr>
        <w:t>黄石市残疾人联合会《关于印发&lt;黄石市扶残助学管理办法&gt;的通知》（黄残联发〔2019〕24号）；</w:t>
      </w:r>
    </w:p>
    <w:p w14:paraId="0A895E9F">
      <w:pPr>
        <w:adjustRightInd w:val="0"/>
        <w:snapToGrid w:val="0"/>
        <w:spacing w:line="580" w:lineRule="exact"/>
        <w:ind w:firstLine="632" w:firstLineChars="200"/>
        <w:rPr>
          <w:rFonts w:hAnsi="仿宋_GB2312" w:cs="仿宋_GB2312"/>
          <w:szCs w:val="32"/>
        </w:rPr>
      </w:pPr>
      <w:r>
        <w:rPr>
          <w:rFonts w:hint="eastAsia" w:hAnsi="仿宋_GB2312" w:cs="仿宋_GB2312"/>
          <w:szCs w:val="32"/>
        </w:rPr>
        <w:t>《湖北省完善残疾人就业保障金制度更好促进残疾人就业的实施方案》；</w:t>
      </w:r>
    </w:p>
    <w:p w14:paraId="7F9B6A0F">
      <w:pPr>
        <w:adjustRightInd w:val="0"/>
        <w:snapToGrid w:val="0"/>
        <w:spacing w:line="580" w:lineRule="exact"/>
        <w:ind w:firstLine="632" w:firstLineChars="200"/>
        <w:rPr>
          <w:rFonts w:hAnsi="仿宋_GB2312" w:cs="仿宋_GB2312"/>
          <w:szCs w:val="32"/>
        </w:rPr>
      </w:pPr>
      <w:r>
        <w:rPr>
          <w:rFonts w:hint="eastAsia" w:hAnsi="仿宋_GB2312" w:cs="仿宋_GB2312"/>
          <w:szCs w:val="32"/>
        </w:rPr>
        <w:t>黄石市财政局《关于下达2022年中央、省级残疾人事业发展补助及中央专项彩票公益金支持地方社会公益事业发展资金的通知》（黄财社发〔2022〕180号）；</w:t>
      </w:r>
    </w:p>
    <w:p w14:paraId="2326D9FC">
      <w:pPr>
        <w:adjustRightInd w:val="0"/>
        <w:snapToGrid w:val="0"/>
        <w:spacing w:line="580" w:lineRule="exact"/>
        <w:ind w:firstLine="632" w:firstLineChars="200"/>
        <w:rPr>
          <w:rFonts w:hAnsi="仿宋_GB2312" w:cs="仿宋_GB2312"/>
          <w:szCs w:val="32"/>
        </w:rPr>
      </w:pPr>
      <w:r>
        <w:rPr>
          <w:rFonts w:hint="eastAsia" w:hAnsi="仿宋_GB2312" w:cs="仿宋_GB2312"/>
          <w:szCs w:val="32"/>
        </w:rPr>
        <w:t>黄石市财政局《关于下达2022年中央下财政残疾人事业发展补助资金预算的通知》（黄财社发〔2022〕45号）；</w:t>
      </w:r>
    </w:p>
    <w:p w14:paraId="39235CB3">
      <w:pPr>
        <w:adjustRightInd w:val="0"/>
        <w:snapToGrid w:val="0"/>
        <w:spacing w:line="580" w:lineRule="exact"/>
        <w:ind w:firstLine="632" w:firstLineChars="200"/>
        <w:rPr>
          <w:rFonts w:hAnsi="仿宋_GB2312" w:cs="仿宋_GB2312"/>
          <w:szCs w:val="32"/>
        </w:rPr>
      </w:pPr>
      <w:r>
        <w:rPr>
          <w:rFonts w:hint="eastAsia" w:hAnsi="仿宋_GB2312" w:cs="仿宋_GB2312"/>
          <w:szCs w:val="32"/>
        </w:rPr>
        <w:t>反映部门管理的佐证材料，包括但不限于部门整体目标、“三定”方案、部门年度工作计划及总结、管理制度文件、财务资料、预算审查及批复资料、预算执行过程资料、决算报告等；</w:t>
      </w:r>
    </w:p>
    <w:p w14:paraId="2281E9F6">
      <w:pPr>
        <w:adjustRightInd w:val="0"/>
        <w:snapToGrid w:val="0"/>
        <w:spacing w:line="580" w:lineRule="exact"/>
        <w:ind w:firstLine="632" w:firstLineChars="200"/>
        <w:rPr>
          <w:rFonts w:hAnsi="仿宋_GB2312" w:cs="仿宋_GB2312"/>
          <w:szCs w:val="32"/>
        </w:rPr>
      </w:pPr>
      <w:r>
        <w:rPr>
          <w:rFonts w:hint="eastAsia" w:hAnsi="仿宋_GB2312" w:cs="仿宋_GB2312"/>
          <w:szCs w:val="32"/>
        </w:rPr>
        <w:t>反映部门履职结果的佐证材料。</w:t>
      </w:r>
    </w:p>
    <w:p w14:paraId="24D2EF51">
      <w:pPr>
        <w:adjustRightInd w:val="0"/>
        <w:snapToGrid w:val="0"/>
        <w:spacing w:line="580" w:lineRule="exact"/>
        <w:ind w:left="632" w:leftChars="200"/>
        <w:rPr>
          <w:rFonts w:ascii="Times New Roman"/>
          <w:b/>
          <w:bCs/>
          <w:szCs w:val="36"/>
        </w:rPr>
      </w:pPr>
      <w:r>
        <w:rPr>
          <w:rFonts w:hint="eastAsia" w:ascii="Times New Roman"/>
          <w:b/>
          <w:bCs/>
          <w:szCs w:val="36"/>
        </w:rPr>
        <w:t>6、</w:t>
      </w:r>
      <w:r>
        <w:rPr>
          <w:rFonts w:ascii="Times New Roman"/>
          <w:b/>
          <w:bCs/>
          <w:szCs w:val="36"/>
        </w:rPr>
        <w:t>评价</w:t>
      </w:r>
      <w:r>
        <w:rPr>
          <w:rFonts w:hint="eastAsia" w:ascii="Times New Roman"/>
          <w:b/>
          <w:bCs/>
          <w:szCs w:val="36"/>
        </w:rPr>
        <w:t>实施程序</w:t>
      </w:r>
      <w:bookmarkEnd w:id="10"/>
    </w:p>
    <w:p w14:paraId="0AB47D0E">
      <w:pPr>
        <w:adjustRightInd w:val="0"/>
        <w:snapToGrid w:val="0"/>
        <w:spacing w:line="580" w:lineRule="exact"/>
        <w:ind w:left="632" w:leftChars="200"/>
        <w:rPr>
          <w:rFonts w:ascii="Times New Roman"/>
          <w:szCs w:val="32"/>
        </w:rPr>
      </w:pPr>
      <w:r>
        <w:rPr>
          <w:rFonts w:hint="eastAsia" w:ascii="Times New Roman"/>
          <w:szCs w:val="32"/>
        </w:rPr>
        <w:t>（1）评价准备阶段</w:t>
      </w:r>
    </w:p>
    <w:p w14:paraId="3CFDF126">
      <w:pPr>
        <w:adjustRightInd w:val="0"/>
        <w:snapToGrid w:val="0"/>
        <w:spacing w:line="580" w:lineRule="exact"/>
        <w:ind w:firstLine="641" w:firstLineChars="203"/>
        <w:rPr>
          <w:rFonts w:ascii="Times New Roman"/>
          <w:szCs w:val="32"/>
        </w:rPr>
      </w:pPr>
      <w:r>
        <w:rPr>
          <w:rFonts w:hint="eastAsia" w:ascii="Times New Roman"/>
          <w:szCs w:val="32"/>
        </w:rPr>
        <w:t>结合部门前期提报资料，制定工作方案，明确评价思路、指标体系、评价方法等内容。</w:t>
      </w:r>
    </w:p>
    <w:p w14:paraId="308F86E2">
      <w:pPr>
        <w:adjustRightInd w:val="0"/>
        <w:snapToGrid w:val="0"/>
        <w:spacing w:line="580" w:lineRule="exact"/>
        <w:ind w:firstLine="641" w:firstLineChars="203"/>
        <w:rPr>
          <w:rFonts w:ascii="Times New Roman"/>
          <w:szCs w:val="32"/>
        </w:rPr>
      </w:pPr>
      <w:r>
        <w:rPr>
          <w:rFonts w:hint="eastAsia" w:ascii="Times New Roman"/>
          <w:szCs w:val="32"/>
        </w:rPr>
        <w:t>（2）评价实施阶段</w:t>
      </w:r>
    </w:p>
    <w:p w14:paraId="6EF41599">
      <w:pPr>
        <w:adjustRightInd w:val="0"/>
        <w:snapToGrid w:val="0"/>
        <w:spacing w:line="580" w:lineRule="exact"/>
        <w:ind w:firstLine="641" w:firstLineChars="203"/>
        <w:rPr>
          <w:rFonts w:ascii="Times New Roman"/>
          <w:szCs w:val="32"/>
        </w:rPr>
      </w:pPr>
      <w:r>
        <w:rPr>
          <w:rFonts w:hint="eastAsia" w:ascii="Times New Roman"/>
          <w:szCs w:val="32"/>
        </w:rPr>
        <w:t>对被评价部门的基本情况、财政资金使用情况、项目组织实施情况、绩效目标、绩效监控和绩效自评等评价资料，采用现场调研、询问和调查问卷等形式进行现场查验核实取证，按照绩效评价指标体系进行综合评定打分。</w:t>
      </w:r>
    </w:p>
    <w:p w14:paraId="75B6A212">
      <w:pPr>
        <w:adjustRightInd w:val="0"/>
        <w:snapToGrid w:val="0"/>
        <w:spacing w:line="580" w:lineRule="exact"/>
        <w:ind w:firstLine="641" w:firstLineChars="203"/>
        <w:rPr>
          <w:rFonts w:ascii="Times New Roman"/>
          <w:szCs w:val="32"/>
        </w:rPr>
      </w:pPr>
      <w:r>
        <w:rPr>
          <w:rFonts w:hint="eastAsia" w:ascii="Times New Roman"/>
          <w:szCs w:val="32"/>
        </w:rPr>
        <w:t>（3）出具报告阶段</w:t>
      </w:r>
    </w:p>
    <w:p w14:paraId="0778BB80">
      <w:pPr>
        <w:adjustRightInd w:val="0"/>
        <w:snapToGrid w:val="0"/>
        <w:spacing w:line="580" w:lineRule="exact"/>
        <w:ind w:firstLine="641" w:firstLineChars="203"/>
        <w:rPr>
          <w:rFonts w:ascii="Times New Roman"/>
          <w:szCs w:val="32"/>
        </w:rPr>
      </w:pPr>
      <w:r>
        <w:rPr>
          <w:rFonts w:hint="eastAsia" w:ascii="Times New Roman"/>
          <w:szCs w:val="32"/>
        </w:rPr>
        <w:t>撰写绩效评价报告，征求财政部门和被评价部门的意见，按期出具绩效评价报告终稿。</w:t>
      </w:r>
    </w:p>
    <w:p w14:paraId="1032C83D">
      <w:pPr>
        <w:ind w:firstLine="632" w:firstLineChars="200"/>
        <w:rPr>
          <w:rFonts w:ascii="Times New Roman"/>
          <w:b/>
          <w:bCs/>
        </w:rPr>
      </w:pPr>
      <w:r>
        <w:rPr>
          <w:rFonts w:hint="eastAsia" w:ascii="Times New Roman"/>
        </w:rPr>
        <w:t>（4）档案整理</w:t>
      </w:r>
    </w:p>
    <w:p w14:paraId="6F404174">
      <w:pPr>
        <w:ind w:firstLine="632" w:firstLineChars="200"/>
        <w:rPr>
          <w:rFonts w:ascii="Times New Roman"/>
          <w:b/>
          <w:bCs/>
        </w:rPr>
      </w:pPr>
      <w:r>
        <w:rPr>
          <w:rFonts w:hint="eastAsia" w:ascii="Times New Roman"/>
        </w:rPr>
        <w:t>整理项目绩效评价各阶段的评价底稿、收集的资料照片等，进行归档。</w:t>
      </w:r>
    </w:p>
    <w:p w14:paraId="43B5EA9B">
      <w:pPr>
        <w:pStyle w:val="5"/>
        <w:spacing w:line="560" w:lineRule="exact"/>
        <w:ind w:firstLine="633"/>
        <w:rPr>
          <w:rFonts w:ascii="Times New Roman" w:hAnsi="Times New Roman" w:eastAsia="楷体"/>
          <w:sz w:val="32"/>
        </w:rPr>
      </w:pPr>
      <w:r>
        <w:rPr>
          <w:rFonts w:hint="eastAsia" w:ascii="Times New Roman" w:hAnsi="Times New Roman" w:eastAsia="楷体"/>
          <w:sz w:val="32"/>
        </w:rPr>
        <w:t>（</w:t>
      </w:r>
      <w:r>
        <w:rPr>
          <w:rFonts w:ascii="Times New Roman" w:hAnsi="Times New Roman" w:eastAsia="楷体"/>
          <w:sz w:val="32"/>
        </w:rPr>
        <w:t>三</w:t>
      </w:r>
      <w:r>
        <w:rPr>
          <w:rFonts w:hint="eastAsia" w:ascii="Times New Roman" w:hAnsi="Times New Roman" w:eastAsia="楷体"/>
          <w:sz w:val="32"/>
        </w:rPr>
        <w:t>）</w:t>
      </w:r>
      <w:r>
        <w:rPr>
          <w:rFonts w:ascii="Times New Roman" w:hAnsi="Times New Roman" w:eastAsia="楷体"/>
          <w:sz w:val="32"/>
        </w:rPr>
        <w:t>绩效指标完成情况分析</w:t>
      </w:r>
    </w:p>
    <w:p w14:paraId="29275D8D">
      <w:pPr>
        <w:pStyle w:val="5"/>
        <w:spacing w:line="240" w:lineRule="auto"/>
        <w:ind w:firstLine="633"/>
        <w:rPr>
          <w:rFonts w:ascii="Times New Roman" w:hAnsi="Times New Roman"/>
          <w:sz w:val="32"/>
          <w:szCs w:val="36"/>
        </w:rPr>
      </w:pPr>
      <w:r>
        <w:rPr>
          <w:rFonts w:ascii="Times New Roman" w:hAnsi="Times New Roman"/>
          <w:sz w:val="32"/>
          <w:szCs w:val="36"/>
        </w:rPr>
        <w:t>1、</w:t>
      </w:r>
      <w:r>
        <w:rPr>
          <w:rFonts w:hint="eastAsia" w:ascii="Times New Roman" w:hAnsi="Times New Roman"/>
          <w:sz w:val="32"/>
          <w:szCs w:val="36"/>
        </w:rPr>
        <w:t>运行成本指标完成情况详细分析</w:t>
      </w:r>
    </w:p>
    <w:p w14:paraId="00608D5A">
      <w:pPr>
        <w:ind w:firstLine="632" w:firstLineChars="200"/>
        <w:rPr>
          <w:rFonts w:ascii="Times New Roman" w:eastAsia="楷体"/>
          <w:szCs w:val="36"/>
        </w:rPr>
      </w:pPr>
      <w:r>
        <w:rPr>
          <w:rFonts w:hint="eastAsia" w:ascii="Times New Roman"/>
          <w:szCs w:val="36"/>
        </w:rPr>
        <w:t>运行成本</w:t>
      </w:r>
      <w:r>
        <w:rPr>
          <w:rFonts w:ascii="Times New Roman"/>
          <w:szCs w:val="32"/>
        </w:rPr>
        <w:t>指标总分值</w:t>
      </w:r>
      <w:r>
        <w:rPr>
          <w:rFonts w:hint="eastAsia" w:ascii="Times New Roman"/>
          <w:szCs w:val="32"/>
        </w:rPr>
        <w:t>8</w:t>
      </w:r>
      <w:r>
        <w:rPr>
          <w:rFonts w:ascii="Times New Roman"/>
          <w:szCs w:val="32"/>
        </w:rPr>
        <w:t>分，实际得分</w:t>
      </w:r>
      <w:r>
        <w:rPr>
          <w:rFonts w:hint="eastAsia" w:ascii="Times New Roman"/>
          <w:szCs w:val="32"/>
        </w:rPr>
        <w:t>8</w:t>
      </w:r>
      <w:r>
        <w:rPr>
          <w:rFonts w:ascii="Times New Roman"/>
          <w:szCs w:val="32"/>
        </w:rPr>
        <w:t>分。各项指标具体完成情况如下：</w:t>
      </w:r>
    </w:p>
    <w:p w14:paraId="17CDBE15">
      <w:pPr>
        <w:ind w:firstLine="632" w:firstLineChars="200"/>
        <w:rPr>
          <w:rFonts w:ascii="Times New Roman"/>
        </w:rPr>
      </w:pPr>
      <w:r>
        <w:rPr>
          <w:rFonts w:ascii="Times New Roman"/>
        </w:rPr>
        <w:t>（1）</w:t>
      </w:r>
      <w:r>
        <w:rPr>
          <w:rFonts w:hint="eastAsia" w:ascii="Times New Roman"/>
        </w:rPr>
        <w:t>公用经费控制</w:t>
      </w:r>
    </w:p>
    <w:p w14:paraId="24A887F1">
      <w:pPr>
        <w:ind w:firstLine="632" w:firstLineChars="200"/>
        <w:rPr>
          <w:rFonts w:ascii="Times New Roman"/>
        </w:rPr>
      </w:pPr>
      <w:r>
        <w:rPr>
          <w:rFonts w:hint="eastAsia" w:ascii="Times New Roman"/>
        </w:rPr>
        <w:t>公用经费决算数与调整后的预算数一致。</w:t>
      </w:r>
    </w:p>
    <w:p w14:paraId="5242EBBF">
      <w:pPr>
        <w:ind w:firstLine="632" w:firstLineChars="200"/>
        <w:rPr>
          <w:rFonts w:ascii="Times New Roman"/>
          <w:szCs w:val="32"/>
        </w:rPr>
      </w:pPr>
      <w:r>
        <w:rPr>
          <w:rFonts w:ascii="Times New Roman"/>
          <w:szCs w:val="32"/>
        </w:rPr>
        <w:t>本项标准分值2分，综合得分2分。</w:t>
      </w:r>
    </w:p>
    <w:p w14:paraId="6768BD6F">
      <w:pPr>
        <w:ind w:firstLine="632" w:firstLineChars="200"/>
        <w:rPr>
          <w:rFonts w:ascii="Times New Roman"/>
          <w:szCs w:val="32"/>
        </w:rPr>
      </w:pPr>
      <w:r>
        <w:rPr>
          <w:rFonts w:ascii="Times New Roman"/>
          <w:szCs w:val="32"/>
        </w:rPr>
        <w:t>（2）</w:t>
      </w:r>
      <w:r>
        <w:rPr>
          <w:rFonts w:hint="eastAsia" w:ascii="Times New Roman"/>
          <w:szCs w:val="32"/>
        </w:rPr>
        <w:t>在职人员控制</w:t>
      </w:r>
    </w:p>
    <w:p w14:paraId="7A9D50D7">
      <w:pPr>
        <w:ind w:firstLine="632" w:firstLineChars="200"/>
        <w:rPr>
          <w:rFonts w:ascii="Times New Roman"/>
          <w:szCs w:val="32"/>
        </w:rPr>
      </w:pPr>
      <w:r>
        <w:rPr>
          <w:rFonts w:hint="eastAsia" w:ascii="Times New Roman"/>
          <w:szCs w:val="32"/>
        </w:rPr>
        <w:t>在职人员人数符合三定方案的要求。</w:t>
      </w:r>
    </w:p>
    <w:p w14:paraId="30AB0393">
      <w:pPr>
        <w:ind w:firstLine="632" w:firstLineChars="200"/>
        <w:rPr>
          <w:rFonts w:ascii="Times New Roman"/>
          <w:szCs w:val="32"/>
        </w:rPr>
      </w:pPr>
      <w:r>
        <w:rPr>
          <w:rFonts w:ascii="Times New Roman"/>
          <w:szCs w:val="32"/>
        </w:rPr>
        <w:t>本项标准分值</w:t>
      </w:r>
      <w:r>
        <w:rPr>
          <w:rFonts w:hint="eastAsia" w:ascii="Times New Roman"/>
          <w:szCs w:val="32"/>
        </w:rPr>
        <w:t>2</w:t>
      </w:r>
      <w:r>
        <w:rPr>
          <w:rFonts w:ascii="Times New Roman"/>
          <w:szCs w:val="32"/>
        </w:rPr>
        <w:t>分，综合得分</w:t>
      </w:r>
      <w:r>
        <w:rPr>
          <w:rFonts w:hint="eastAsia" w:ascii="Times New Roman"/>
          <w:szCs w:val="32"/>
        </w:rPr>
        <w:t>2</w:t>
      </w:r>
      <w:r>
        <w:rPr>
          <w:rFonts w:ascii="Times New Roman"/>
          <w:szCs w:val="32"/>
        </w:rPr>
        <w:t>分。</w:t>
      </w:r>
    </w:p>
    <w:p w14:paraId="3538EF7F">
      <w:pPr>
        <w:numPr>
          <w:ilvl w:val="0"/>
          <w:numId w:val="8"/>
        </w:numPr>
        <w:ind w:firstLine="632" w:firstLineChars="200"/>
        <w:rPr>
          <w:rFonts w:ascii="Times New Roman"/>
          <w:szCs w:val="32"/>
        </w:rPr>
      </w:pPr>
      <w:r>
        <w:rPr>
          <w:rFonts w:hint="eastAsia" w:ascii="Times New Roman"/>
          <w:szCs w:val="32"/>
        </w:rPr>
        <w:t>项目支出成本控制</w:t>
      </w:r>
    </w:p>
    <w:p w14:paraId="7BD5DB21">
      <w:pPr>
        <w:ind w:firstLine="569" w:firstLineChars="180"/>
        <w:rPr>
          <w:rFonts w:ascii="Times New Roman"/>
          <w:szCs w:val="32"/>
        </w:rPr>
      </w:pPr>
      <w:r>
        <w:rPr>
          <w:rFonts w:ascii="Times New Roman"/>
          <w:szCs w:val="32"/>
        </w:rPr>
        <w:fldChar w:fldCharType="begin"/>
      </w:r>
      <w:r>
        <w:rPr>
          <w:rFonts w:ascii="Times New Roman"/>
          <w:szCs w:val="32"/>
        </w:rPr>
        <w:instrText xml:space="preserve"> = 1 \* GB3 </w:instrText>
      </w:r>
      <w:r>
        <w:rPr>
          <w:rFonts w:ascii="Times New Roman"/>
          <w:szCs w:val="32"/>
        </w:rPr>
        <w:fldChar w:fldCharType="separate"/>
      </w:r>
      <w:r>
        <w:rPr>
          <w:rFonts w:hint="eastAsia" w:ascii="宋体" w:hAnsi="宋体" w:eastAsia="宋体" w:cs="宋体"/>
          <w:szCs w:val="32"/>
        </w:rPr>
        <w:t>①</w:t>
      </w:r>
      <w:r>
        <w:rPr>
          <w:rFonts w:ascii="Times New Roman"/>
          <w:szCs w:val="32"/>
        </w:rPr>
        <w:fldChar w:fldCharType="end"/>
      </w:r>
      <w:r>
        <w:rPr>
          <w:rFonts w:hint="eastAsia" w:ascii="Times New Roman"/>
          <w:szCs w:val="32"/>
        </w:rPr>
        <w:t>会议费控制率</w:t>
      </w:r>
    </w:p>
    <w:p w14:paraId="1E254AAB">
      <w:pPr>
        <w:ind w:firstLine="632" w:firstLineChars="200"/>
        <w:rPr>
          <w:rFonts w:ascii="Times New Roman"/>
          <w:szCs w:val="32"/>
        </w:rPr>
      </w:pPr>
      <w:r>
        <w:rPr>
          <w:rFonts w:hint="eastAsia" w:ascii="Times New Roman"/>
          <w:szCs w:val="32"/>
        </w:rPr>
        <w:t>2022年度无会议费支出。</w:t>
      </w:r>
    </w:p>
    <w:p w14:paraId="5AF65BC2">
      <w:pPr>
        <w:ind w:firstLine="632" w:firstLineChars="200"/>
        <w:rPr>
          <w:rFonts w:ascii="Times New Roman"/>
        </w:rPr>
      </w:pPr>
      <w:r>
        <w:rPr>
          <w:rFonts w:ascii="Times New Roman"/>
          <w:szCs w:val="32"/>
        </w:rPr>
        <w:t>本项标准分值</w:t>
      </w:r>
      <w:r>
        <w:rPr>
          <w:rFonts w:hint="eastAsia" w:ascii="Times New Roman"/>
          <w:szCs w:val="32"/>
        </w:rPr>
        <w:t>1</w:t>
      </w:r>
      <w:r>
        <w:rPr>
          <w:rFonts w:ascii="Times New Roman"/>
          <w:szCs w:val="32"/>
        </w:rPr>
        <w:t>分，综合得分</w:t>
      </w:r>
      <w:r>
        <w:rPr>
          <w:rFonts w:hint="eastAsia" w:ascii="Times New Roman"/>
          <w:szCs w:val="32"/>
        </w:rPr>
        <w:t>1</w:t>
      </w:r>
      <w:r>
        <w:rPr>
          <w:rFonts w:ascii="Times New Roman"/>
          <w:szCs w:val="32"/>
        </w:rPr>
        <w:t>分。</w:t>
      </w:r>
    </w:p>
    <w:p w14:paraId="52C71C11">
      <w:pPr>
        <w:ind w:firstLine="632" w:firstLineChars="200"/>
        <w:rPr>
          <w:rFonts w:ascii="Times New Roman"/>
          <w:szCs w:val="32"/>
        </w:rPr>
      </w:pPr>
      <w:r>
        <w:rPr>
          <w:rFonts w:ascii="Times New Roman"/>
          <w:szCs w:val="32"/>
        </w:rPr>
        <w:fldChar w:fldCharType="begin"/>
      </w:r>
      <w:r>
        <w:rPr>
          <w:rFonts w:ascii="Times New Roman"/>
          <w:szCs w:val="32"/>
        </w:rPr>
        <w:instrText xml:space="preserve"> = 2 \* GB3 </w:instrText>
      </w:r>
      <w:r>
        <w:rPr>
          <w:rFonts w:ascii="Times New Roman"/>
          <w:szCs w:val="32"/>
        </w:rPr>
        <w:fldChar w:fldCharType="separate"/>
      </w:r>
      <w:r>
        <w:rPr>
          <w:rFonts w:hint="eastAsia" w:ascii="宋体" w:hAnsi="宋体" w:eastAsia="宋体" w:cs="宋体"/>
          <w:szCs w:val="32"/>
        </w:rPr>
        <w:t>②</w:t>
      </w:r>
      <w:r>
        <w:rPr>
          <w:rFonts w:ascii="Times New Roman"/>
          <w:szCs w:val="32"/>
        </w:rPr>
        <w:fldChar w:fldCharType="end"/>
      </w:r>
      <w:r>
        <w:rPr>
          <w:rFonts w:hint="eastAsia" w:ascii="Times New Roman"/>
          <w:szCs w:val="32"/>
          <w:lang w:eastAsia="zh-CN"/>
        </w:rPr>
        <w:t>“三公”经费</w:t>
      </w:r>
      <w:r>
        <w:rPr>
          <w:rFonts w:hint="eastAsia" w:ascii="Times New Roman"/>
          <w:szCs w:val="32"/>
        </w:rPr>
        <w:t>变动率</w:t>
      </w:r>
    </w:p>
    <w:p w14:paraId="55B81D78">
      <w:pPr>
        <w:ind w:firstLine="632" w:firstLineChars="200"/>
        <w:rPr>
          <w:rFonts w:ascii="Times New Roman"/>
          <w:szCs w:val="32"/>
        </w:rPr>
      </w:pPr>
      <w:r>
        <w:rPr>
          <w:rFonts w:hint="eastAsia" w:ascii="Times New Roman"/>
          <w:szCs w:val="32"/>
        </w:rPr>
        <w:t>2022年度无三公经费支出。</w:t>
      </w:r>
    </w:p>
    <w:p w14:paraId="5789D623">
      <w:pPr>
        <w:ind w:firstLine="632" w:firstLineChars="200"/>
        <w:rPr>
          <w:rFonts w:ascii="Times New Roman"/>
          <w:szCs w:val="32"/>
        </w:rPr>
      </w:pPr>
      <w:r>
        <w:rPr>
          <w:rFonts w:ascii="Times New Roman"/>
          <w:szCs w:val="32"/>
        </w:rPr>
        <w:t>本项标准分值</w:t>
      </w:r>
      <w:r>
        <w:rPr>
          <w:rFonts w:hint="eastAsia" w:ascii="Times New Roman"/>
          <w:szCs w:val="32"/>
        </w:rPr>
        <w:t>1</w:t>
      </w:r>
      <w:r>
        <w:rPr>
          <w:rFonts w:ascii="Times New Roman"/>
          <w:szCs w:val="32"/>
        </w:rPr>
        <w:t>分，综合得分</w:t>
      </w:r>
      <w:r>
        <w:rPr>
          <w:rFonts w:hint="eastAsia" w:ascii="Times New Roman"/>
          <w:szCs w:val="32"/>
        </w:rPr>
        <w:t>1</w:t>
      </w:r>
      <w:r>
        <w:rPr>
          <w:rFonts w:ascii="Times New Roman"/>
          <w:szCs w:val="32"/>
        </w:rPr>
        <w:t>分。</w:t>
      </w:r>
    </w:p>
    <w:p w14:paraId="3A2CF2C6">
      <w:pPr>
        <w:ind w:firstLine="632" w:firstLineChars="200"/>
        <w:rPr>
          <w:rFonts w:ascii="Times New Roman"/>
          <w:szCs w:val="32"/>
        </w:rPr>
      </w:pPr>
      <w:r>
        <w:rPr>
          <w:rFonts w:hint="eastAsia" w:ascii="宋体" w:hAnsi="宋体" w:eastAsia="宋体" w:cs="宋体"/>
        </w:rPr>
        <w:t>③</w:t>
      </w:r>
      <w:r>
        <w:rPr>
          <w:rFonts w:hint="eastAsia" w:ascii="Times New Roman"/>
          <w:szCs w:val="32"/>
        </w:rPr>
        <w:t>新增资产支出控制率</w:t>
      </w:r>
    </w:p>
    <w:p w14:paraId="6ED7C02A">
      <w:pPr>
        <w:ind w:firstLine="632" w:firstLineChars="200"/>
        <w:rPr>
          <w:rFonts w:ascii="Times New Roman"/>
          <w:szCs w:val="32"/>
        </w:rPr>
      </w:pPr>
      <w:r>
        <w:rPr>
          <w:rFonts w:hint="eastAsia" w:ascii="Times New Roman"/>
          <w:bCs/>
          <w:szCs w:val="32"/>
        </w:rPr>
        <w:t>本年新增资产与相关支出标准匹配。</w:t>
      </w:r>
    </w:p>
    <w:p w14:paraId="127BBCEA">
      <w:pPr>
        <w:ind w:firstLine="632" w:firstLineChars="200"/>
        <w:rPr>
          <w:rFonts w:ascii="Times New Roman"/>
          <w:szCs w:val="32"/>
        </w:rPr>
      </w:pPr>
      <w:r>
        <w:rPr>
          <w:rFonts w:ascii="Times New Roman"/>
          <w:szCs w:val="32"/>
        </w:rPr>
        <w:t>本项标准分值</w:t>
      </w:r>
      <w:r>
        <w:rPr>
          <w:rFonts w:hint="eastAsia" w:ascii="Times New Roman"/>
          <w:szCs w:val="32"/>
        </w:rPr>
        <w:t>2</w:t>
      </w:r>
      <w:r>
        <w:rPr>
          <w:rFonts w:ascii="Times New Roman"/>
          <w:szCs w:val="32"/>
        </w:rPr>
        <w:t>分，综合得分</w:t>
      </w:r>
      <w:r>
        <w:rPr>
          <w:rFonts w:hint="eastAsia" w:ascii="Times New Roman"/>
          <w:szCs w:val="32"/>
        </w:rPr>
        <w:t>2</w:t>
      </w:r>
      <w:r>
        <w:rPr>
          <w:rFonts w:ascii="Times New Roman"/>
          <w:szCs w:val="32"/>
        </w:rPr>
        <w:t>分。</w:t>
      </w:r>
    </w:p>
    <w:p w14:paraId="50770CCE">
      <w:pPr>
        <w:pStyle w:val="5"/>
        <w:spacing w:line="240" w:lineRule="auto"/>
        <w:ind w:firstLine="633"/>
        <w:rPr>
          <w:rFonts w:ascii="Times New Roman" w:hAnsi="Times New Roman"/>
          <w:sz w:val="32"/>
          <w:szCs w:val="36"/>
        </w:rPr>
      </w:pPr>
      <w:r>
        <w:rPr>
          <w:rFonts w:ascii="Times New Roman" w:hAnsi="Times New Roman"/>
          <w:sz w:val="32"/>
          <w:szCs w:val="36"/>
        </w:rPr>
        <w:t>2、</w:t>
      </w:r>
      <w:r>
        <w:rPr>
          <w:rFonts w:hint="eastAsia" w:ascii="Times New Roman" w:hAnsi="Times New Roman"/>
          <w:sz w:val="32"/>
          <w:szCs w:val="36"/>
        </w:rPr>
        <w:t>管理效率指标完成情况详细分析</w:t>
      </w:r>
    </w:p>
    <w:p w14:paraId="3C092CE4">
      <w:pPr>
        <w:ind w:firstLine="632" w:firstLineChars="200"/>
        <w:rPr>
          <w:rFonts w:ascii="Times New Roman"/>
          <w:szCs w:val="32"/>
        </w:rPr>
      </w:pPr>
      <w:r>
        <w:rPr>
          <w:rFonts w:hint="eastAsia" w:ascii="Times New Roman"/>
          <w:szCs w:val="36"/>
        </w:rPr>
        <w:t>管理效率</w:t>
      </w:r>
      <w:r>
        <w:rPr>
          <w:rFonts w:ascii="Times New Roman"/>
          <w:szCs w:val="32"/>
        </w:rPr>
        <w:t>指标总分值2</w:t>
      </w:r>
      <w:r>
        <w:rPr>
          <w:rFonts w:hint="eastAsia" w:ascii="Times New Roman"/>
          <w:szCs w:val="32"/>
        </w:rPr>
        <w:t>2</w:t>
      </w:r>
      <w:r>
        <w:rPr>
          <w:rFonts w:ascii="Times New Roman"/>
          <w:szCs w:val="32"/>
        </w:rPr>
        <w:t>分，实际得分</w:t>
      </w:r>
      <w:r>
        <w:rPr>
          <w:rFonts w:hint="eastAsia" w:ascii="Times New Roman"/>
          <w:szCs w:val="32"/>
        </w:rPr>
        <w:t>19</w:t>
      </w:r>
      <w:r>
        <w:rPr>
          <w:rFonts w:ascii="Times New Roman"/>
          <w:szCs w:val="32"/>
        </w:rPr>
        <w:t>分。</w:t>
      </w:r>
      <w:bookmarkStart w:id="12" w:name="_Hlk53649166"/>
      <w:r>
        <w:rPr>
          <w:rFonts w:ascii="Times New Roman"/>
          <w:szCs w:val="32"/>
        </w:rPr>
        <w:t>各项指标具体完成情况如下：</w:t>
      </w:r>
      <w:bookmarkEnd w:id="12"/>
    </w:p>
    <w:p w14:paraId="34D79D1A">
      <w:pPr>
        <w:ind w:firstLine="632" w:firstLineChars="200"/>
        <w:rPr>
          <w:rFonts w:ascii="Times New Roman"/>
          <w:szCs w:val="32"/>
        </w:rPr>
      </w:pPr>
      <w:r>
        <w:rPr>
          <w:rFonts w:ascii="Times New Roman"/>
          <w:szCs w:val="32"/>
        </w:rPr>
        <w:t>（1）</w:t>
      </w:r>
      <w:r>
        <w:rPr>
          <w:rFonts w:hint="eastAsia" w:ascii="Times New Roman"/>
          <w:szCs w:val="32"/>
        </w:rPr>
        <w:t>战略</w:t>
      </w:r>
      <w:r>
        <w:rPr>
          <w:rFonts w:ascii="Times New Roman"/>
          <w:szCs w:val="32"/>
        </w:rPr>
        <w:t>管理</w:t>
      </w:r>
    </w:p>
    <w:p w14:paraId="4DA83DE3">
      <w:pPr>
        <w:ind w:firstLine="632" w:firstLineChars="200"/>
        <w:rPr>
          <w:rFonts w:ascii="Times New Roman"/>
          <w:szCs w:val="32"/>
        </w:rPr>
      </w:pPr>
      <w:r>
        <w:rPr>
          <w:rFonts w:ascii="Times New Roman"/>
          <w:szCs w:val="32"/>
        </w:rPr>
        <w:fldChar w:fldCharType="begin"/>
      </w:r>
      <w:r>
        <w:rPr>
          <w:rFonts w:ascii="Times New Roman"/>
          <w:szCs w:val="32"/>
        </w:rPr>
        <w:instrText xml:space="preserve"> = 1 \* GB3 </w:instrText>
      </w:r>
      <w:r>
        <w:rPr>
          <w:rFonts w:ascii="Times New Roman"/>
          <w:szCs w:val="32"/>
        </w:rPr>
        <w:fldChar w:fldCharType="separate"/>
      </w:r>
      <w:r>
        <w:rPr>
          <w:rFonts w:hint="eastAsia" w:ascii="宋体" w:hAnsi="宋体" w:eastAsia="宋体" w:cs="宋体"/>
          <w:szCs w:val="32"/>
        </w:rPr>
        <w:t>①</w:t>
      </w:r>
      <w:r>
        <w:rPr>
          <w:rFonts w:ascii="Times New Roman"/>
          <w:szCs w:val="32"/>
        </w:rPr>
        <w:fldChar w:fldCharType="end"/>
      </w:r>
      <w:r>
        <w:rPr>
          <w:rFonts w:hint="eastAsia" w:ascii="Times New Roman"/>
          <w:szCs w:val="32"/>
        </w:rPr>
        <w:t>中长期规划相符性</w:t>
      </w:r>
    </w:p>
    <w:p w14:paraId="48CE4361">
      <w:pPr>
        <w:ind w:firstLine="632" w:firstLineChars="200"/>
        <w:rPr>
          <w:rFonts w:ascii="Times New Roman"/>
          <w:szCs w:val="32"/>
        </w:rPr>
      </w:pPr>
      <w:r>
        <w:rPr>
          <w:rFonts w:hint="eastAsia" w:ascii="Times New Roman"/>
          <w:szCs w:val="32"/>
        </w:rPr>
        <w:t>本年部门的规划与相关政府战略相匹配、与部门职能相符</w:t>
      </w:r>
      <w:r>
        <w:rPr>
          <w:rFonts w:ascii="Times New Roman"/>
          <w:szCs w:val="32"/>
        </w:rPr>
        <w:t>。</w:t>
      </w:r>
    </w:p>
    <w:p w14:paraId="04BE6D36">
      <w:pPr>
        <w:ind w:firstLine="632" w:firstLineChars="200"/>
        <w:rPr>
          <w:rFonts w:ascii="Times New Roman"/>
        </w:rPr>
      </w:pPr>
      <w:r>
        <w:rPr>
          <w:rFonts w:ascii="Times New Roman"/>
          <w:szCs w:val="32"/>
        </w:rPr>
        <w:t>本项标准分值</w:t>
      </w:r>
      <w:r>
        <w:rPr>
          <w:rFonts w:hint="eastAsia" w:ascii="Times New Roman"/>
          <w:szCs w:val="32"/>
        </w:rPr>
        <w:t>1</w:t>
      </w:r>
      <w:r>
        <w:rPr>
          <w:rFonts w:ascii="Times New Roman"/>
          <w:szCs w:val="32"/>
        </w:rPr>
        <w:t>分，综合得分</w:t>
      </w:r>
      <w:r>
        <w:rPr>
          <w:rFonts w:hint="eastAsia" w:ascii="Times New Roman"/>
          <w:szCs w:val="32"/>
        </w:rPr>
        <w:t>1</w:t>
      </w:r>
      <w:r>
        <w:rPr>
          <w:rFonts w:ascii="Times New Roman"/>
          <w:szCs w:val="32"/>
        </w:rPr>
        <w:t>分。</w:t>
      </w:r>
    </w:p>
    <w:p w14:paraId="0ABC9F0B">
      <w:pPr>
        <w:ind w:firstLine="632" w:firstLineChars="200"/>
        <w:rPr>
          <w:rFonts w:ascii="Times New Roman"/>
          <w:szCs w:val="32"/>
        </w:rPr>
      </w:pPr>
      <w:r>
        <w:rPr>
          <w:rFonts w:ascii="Times New Roman"/>
          <w:szCs w:val="32"/>
        </w:rPr>
        <w:fldChar w:fldCharType="begin"/>
      </w:r>
      <w:r>
        <w:rPr>
          <w:rFonts w:ascii="Times New Roman"/>
          <w:szCs w:val="32"/>
        </w:rPr>
        <w:instrText xml:space="preserve"> = 2 \* GB3 </w:instrText>
      </w:r>
      <w:r>
        <w:rPr>
          <w:rFonts w:ascii="Times New Roman"/>
          <w:szCs w:val="32"/>
        </w:rPr>
        <w:fldChar w:fldCharType="separate"/>
      </w:r>
      <w:r>
        <w:rPr>
          <w:rFonts w:hint="eastAsia" w:ascii="宋体" w:hAnsi="宋体" w:eastAsia="宋体" w:cs="宋体"/>
          <w:szCs w:val="32"/>
        </w:rPr>
        <w:t>②</w:t>
      </w:r>
      <w:r>
        <w:rPr>
          <w:rFonts w:ascii="Times New Roman"/>
          <w:szCs w:val="32"/>
        </w:rPr>
        <w:fldChar w:fldCharType="end"/>
      </w:r>
      <w:r>
        <w:rPr>
          <w:rFonts w:hint="eastAsia" w:ascii="Times New Roman"/>
          <w:szCs w:val="32"/>
        </w:rPr>
        <w:t>工作计划健全性</w:t>
      </w:r>
    </w:p>
    <w:p w14:paraId="24FF8FE2">
      <w:pPr>
        <w:ind w:firstLine="632" w:firstLineChars="200"/>
        <w:rPr>
          <w:rFonts w:ascii="Times New Roman"/>
          <w:szCs w:val="32"/>
        </w:rPr>
      </w:pPr>
      <w:r>
        <w:rPr>
          <w:rFonts w:hint="eastAsia" w:ascii="Times New Roman"/>
          <w:szCs w:val="32"/>
        </w:rPr>
        <w:t>本年度部门有制定明确、具体、可操作的工作计划，且与部门职能和中长期规划相匹配</w:t>
      </w:r>
      <w:r>
        <w:rPr>
          <w:rFonts w:ascii="Times New Roman"/>
          <w:szCs w:val="32"/>
        </w:rPr>
        <w:t>。</w:t>
      </w:r>
    </w:p>
    <w:p w14:paraId="301AA228">
      <w:pPr>
        <w:ind w:firstLine="632" w:firstLineChars="200"/>
        <w:rPr>
          <w:rFonts w:ascii="Times New Roman"/>
          <w:szCs w:val="32"/>
        </w:rPr>
      </w:pPr>
      <w:r>
        <w:rPr>
          <w:rFonts w:ascii="Times New Roman"/>
          <w:szCs w:val="32"/>
        </w:rPr>
        <w:t>本项标准分值</w:t>
      </w:r>
      <w:r>
        <w:rPr>
          <w:rFonts w:hint="eastAsia" w:ascii="Times New Roman"/>
          <w:szCs w:val="32"/>
        </w:rPr>
        <w:t>1</w:t>
      </w:r>
      <w:r>
        <w:rPr>
          <w:rFonts w:ascii="Times New Roman"/>
          <w:szCs w:val="32"/>
        </w:rPr>
        <w:t>分，综合得分</w:t>
      </w:r>
      <w:r>
        <w:rPr>
          <w:rFonts w:hint="eastAsia" w:ascii="Times New Roman"/>
          <w:szCs w:val="32"/>
        </w:rPr>
        <w:t>1</w:t>
      </w:r>
      <w:r>
        <w:rPr>
          <w:rFonts w:ascii="Times New Roman"/>
          <w:szCs w:val="32"/>
        </w:rPr>
        <w:t>分。</w:t>
      </w:r>
    </w:p>
    <w:p w14:paraId="0B941BB7">
      <w:pPr>
        <w:ind w:firstLine="632" w:firstLineChars="200"/>
        <w:rPr>
          <w:rFonts w:ascii="Times New Roman"/>
          <w:szCs w:val="32"/>
        </w:rPr>
      </w:pPr>
      <w:r>
        <w:rPr>
          <w:rFonts w:hint="eastAsia" w:ascii="Times New Roman"/>
          <w:szCs w:val="32"/>
        </w:rPr>
        <w:t>（2）预算</w:t>
      </w:r>
      <w:r>
        <w:rPr>
          <w:rFonts w:hint="eastAsia" w:ascii="Times New Roman"/>
          <w:bCs/>
          <w:szCs w:val="32"/>
        </w:rPr>
        <w:t>编制</w:t>
      </w:r>
    </w:p>
    <w:p w14:paraId="5128F2F2">
      <w:pPr>
        <w:ind w:firstLine="632" w:firstLineChars="200"/>
        <w:rPr>
          <w:rFonts w:ascii="Times New Roman"/>
          <w:szCs w:val="32"/>
        </w:rPr>
      </w:pPr>
      <w:r>
        <w:rPr>
          <w:rFonts w:ascii="Times New Roman"/>
          <w:szCs w:val="32"/>
        </w:rPr>
        <w:fldChar w:fldCharType="begin"/>
      </w:r>
      <w:r>
        <w:rPr>
          <w:rFonts w:ascii="Times New Roman"/>
          <w:szCs w:val="32"/>
        </w:rPr>
        <w:instrText xml:space="preserve"> = 1 \* GB3 </w:instrText>
      </w:r>
      <w:r>
        <w:rPr>
          <w:rFonts w:ascii="Times New Roman"/>
          <w:szCs w:val="32"/>
        </w:rPr>
        <w:fldChar w:fldCharType="separate"/>
      </w:r>
      <w:r>
        <w:rPr>
          <w:rFonts w:hint="eastAsia" w:ascii="宋体" w:hAnsi="宋体" w:eastAsia="宋体" w:cs="宋体"/>
          <w:szCs w:val="32"/>
        </w:rPr>
        <w:t>①</w:t>
      </w:r>
      <w:r>
        <w:rPr>
          <w:rFonts w:ascii="Times New Roman"/>
          <w:szCs w:val="32"/>
        </w:rPr>
        <w:fldChar w:fldCharType="end"/>
      </w:r>
      <w:r>
        <w:rPr>
          <w:rFonts w:hint="eastAsia" w:ascii="Times New Roman"/>
          <w:szCs w:val="32"/>
        </w:rPr>
        <w:t>预算编制科学性</w:t>
      </w:r>
    </w:p>
    <w:p w14:paraId="2150F067">
      <w:pPr>
        <w:pStyle w:val="2"/>
        <w:spacing w:line="240" w:lineRule="auto"/>
        <w:ind w:firstLine="632" w:firstLineChars="200"/>
      </w:pPr>
      <w:r>
        <w:rPr>
          <w:rFonts w:hint="eastAsia"/>
          <w:b w:val="0"/>
          <w:bCs/>
        </w:rPr>
        <w:t>本年度部门预算编制的基本支出预算按照规定编制；项目预算测算依据充分。</w:t>
      </w:r>
    </w:p>
    <w:p w14:paraId="4DAA5ED1">
      <w:pPr>
        <w:ind w:firstLine="632" w:firstLineChars="200"/>
        <w:rPr>
          <w:rFonts w:ascii="Times New Roman"/>
        </w:rPr>
      </w:pPr>
      <w:r>
        <w:rPr>
          <w:rFonts w:ascii="Times New Roman"/>
          <w:szCs w:val="32"/>
        </w:rPr>
        <w:t>本项标准分值</w:t>
      </w:r>
      <w:r>
        <w:rPr>
          <w:rFonts w:hint="eastAsia" w:ascii="Times New Roman"/>
          <w:szCs w:val="32"/>
        </w:rPr>
        <w:t>1</w:t>
      </w:r>
      <w:r>
        <w:rPr>
          <w:rFonts w:ascii="Times New Roman"/>
          <w:szCs w:val="32"/>
        </w:rPr>
        <w:t>分，综合得分</w:t>
      </w:r>
      <w:r>
        <w:rPr>
          <w:rFonts w:hint="eastAsia" w:ascii="Times New Roman"/>
          <w:szCs w:val="32"/>
        </w:rPr>
        <w:t>1</w:t>
      </w:r>
      <w:r>
        <w:rPr>
          <w:rFonts w:ascii="Times New Roman"/>
          <w:szCs w:val="32"/>
        </w:rPr>
        <w:t>分。</w:t>
      </w:r>
    </w:p>
    <w:p w14:paraId="1E0D6156">
      <w:pPr>
        <w:ind w:firstLine="632" w:firstLineChars="200"/>
        <w:rPr>
          <w:rFonts w:ascii="Times New Roman"/>
          <w:szCs w:val="32"/>
        </w:rPr>
      </w:pPr>
      <w:r>
        <w:rPr>
          <w:rFonts w:ascii="Times New Roman"/>
          <w:szCs w:val="32"/>
        </w:rPr>
        <w:fldChar w:fldCharType="begin"/>
      </w:r>
      <w:r>
        <w:rPr>
          <w:rFonts w:ascii="Times New Roman"/>
          <w:szCs w:val="32"/>
        </w:rPr>
        <w:instrText xml:space="preserve"> = 2 \* GB3 </w:instrText>
      </w:r>
      <w:r>
        <w:rPr>
          <w:rFonts w:ascii="Times New Roman"/>
          <w:szCs w:val="32"/>
        </w:rPr>
        <w:fldChar w:fldCharType="separate"/>
      </w:r>
      <w:r>
        <w:rPr>
          <w:rFonts w:hint="eastAsia" w:ascii="宋体" w:hAnsi="宋体" w:eastAsia="宋体" w:cs="宋体"/>
          <w:szCs w:val="32"/>
        </w:rPr>
        <w:t>②</w:t>
      </w:r>
      <w:r>
        <w:rPr>
          <w:rFonts w:ascii="Times New Roman"/>
          <w:szCs w:val="32"/>
        </w:rPr>
        <w:fldChar w:fldCharType="end"/>
      </w:r>
      <w:r>
        <w:rPr>
          <w:rFonts w:hint="eastAsia" w:ascii="Times New Roman"/>
          <w:szCs w:val="32"/>
        </w:rPr>
        <w:t>预算编制合理性</w:t>
      </w:r>
    </w:p>
    <w:p w14:paraId="74701992">
      <w:pPr>
        <w:ind w:firstLine="632" w:firstLineChars="200"/>
        <w:rPr>
          <w:rFonts w:ascii="Times New Roman"/>
          <w:szCs w:val="32"/>
        </w:rPr>
      </w:pPr>
      <w:r>
        <w:rPr>
          <w:rFonts w:hint="eastAsia" w:ascii="Times New Roman"/>
          <w:szCs w:val="32"/>
        </w:rPr>
        <w:t>重点项目预算有保障，部门内部项目之间未发现交叉重复</w:t>
      </w:r>
      <w:r>
        <w:rPr>
          <w:rFonts w:ascii="Times New Roman"/>
          <w:szCs w:val="32"/>
        </w:rPr>
        <w:t>。</w:t>
      </w:r>
    </w:p>
    <w:p w14:paraId="32C3789D">
      <w:pPr>
        <w:ind w:firstLine="632" w:firstLineChars="200"/>
        <w:rPr>
          <w:rFonts w:ascii="Times New Roman"/>
          <w:szCs w:val="32"/>
        </w:rPr>
      </w:pPr>
      <w:r>
        <w:rPr>
          <w:rFonts w:ascii="Times New Roman"/>
          <w:szCs w:val="32"/>
        </w:rPr>
        <w:t>本项标准分值</w:t>
      </w:r>
      <w:r>
        <w:rPr>
          <w:rFonts w:hint="eastAsia" w:ascii="Times New Roman"/>
          <w:szCs w:val="32"/>
        </w:rPr>
        <w:t>1</w:t>
      </w:r>
      <w:r>
        <w:rPr>
          <w:rFonts w:ascii="Times New Roman"/>
          <w:szCs w:val="32"/>
        </w:rPr>
        <w:t>分，综合得分</w:t>
      </w:r>
      <w:r>
        <w:rPr>
          <w:rFonts w:hint="eastAsia" w:ascii="Times New Roman"/>
          <w:szCs w:val="32"/>
        </w:rPr>
        <w:t>1</w:t>
      </w:r>
      <w:r>
        <w:rPr>
          <w:rFonts w:ascii="Times New Roman"/>
          <w:szCs w:val="32"/>
        </w:rPr>
        <w:t>分。</w:t>
      </w:r>
    </w:p>
    <w:p w14:paraId="4C74207D">
      <w:pPr>
        <w:ind w:firstLine="632" w:firstLineChars="200"/>
        <w:rPr>
          <w:rFonts w:ascii="Times New Roman"/>
          <w:szCs w:val="32"/>
        </w:rPr>
      </w:pPr>
      <w:r>
        <w:rPr>
          <w:rFonts w:ascii="Times New Roman"/>
          <w:szCs w:val="32"/>
        </w:rPr>
        <w:fldChar w:fldCharType="begin"/>
      </w:r>
      <w:r>
        <w:rPr>
          <w:rFonts w:ascii="Times New Roman"/>
          <w:szCs w:val="32"/>
        </w:rPr>
        <w:instrText xml:space="preserve"> = 3 \* GB3 </w:instrText>
      </w:r>
      <w:r>
        <w:rPr>
          <w:rFonts w:ascii="Times New Roman"/>
          <w:szCs w:val="32"/>
        </w:rPr>
        <w:fldChar w:fldCharType="separate"/>
      </w:r>
      <w:r>
        <w:rPr>
          <w:rFonts w:hint="eastAsia" w:ascii="宋体" w:hAnsi="宋体" w:eastAsia="宋体" w:cs="宋体"/>
          <w:szCs w:val="32"/>
        </w:rPr>
        <w:t>③</w:t>
      </w:r>
      <w:r>
        <w:rPr>
          <w:rFonts w:ascii="Times New Roman"/>
          <w:szCs w:val="32"/>
        </w:rPr>
        <w:fldChar w:fldCharType="end"/>
      </w:r>
      <w:r>
        <w:rPr>
          <w:rFonts w:hint="eastAsia" w:ascii="Times New Roman"/>
          <w:szCs w:val="32"/>
        </w:rPr>
        <w:t>立项规范</w:t>
      </w:r>
      <w:r>
        <w:rPr>
          <w:rFonts w:ascii="Times New Roman"/>
          <w:szCs w:val="32"/>
        </w:rPr>
        <w:t>性</w:t>
      </w:r>
    </w:p>
    <w:p w14:paraId="048471D5">
      <w:pPr>
        <w:ind w:firstLine="632" w:firstLineChars="200"/>
        <w:rPr>
          <w:rFonts w:ascii="Times New Roman"/>
          <w:szCs w:val="32"/>
        </w:rPr>
      </w:pPr>
      <w:r>
        <w:rPr>
          <w:rFonts w:hint="eastAsia" w:ascii="Times New Roman"/>
          <w:szCs w:val="32"/>
        </w:rPr>
        <w:t>重点项目设立申请等符合相关程序要求</w:t>
      </w:r>
      <w:r>
        <w:rPr>
          <w:rFonts w:ascii="Times New Roman"/>
          <w:szCs w:val="32"/>
        </w:rPr>
        <w:t>。</w:t>
      </w:r>
    </w:p>
    <w:p w14:paraId="5CFB599C">
      <w:pPr>
        <w:ind w:firstLine="632" w:firstLineChars="200"/>
        <w:rPr>
          <w:rFonts w:ascii="Times New Roman"/>
          <w:szCs w:val="32"/>
        </w:rPr>
      </w:pPr>
      <w:r>
        <w:rPr>
          <w:rFonts w:ascii="Times New Roman"/>
          <w:szCs w:val="32"/>
        </w:rPr>
        <w:t>本项标准分值</w:t>
      </w:r>
      <w:r>
        <w:rPr>
          <w:rFonts w:hint="eastAsia" w:ascii="Times New Roman"/>
          <w:szCs w:val="32"/>
        </w:rPr>
        <w:t>1</w:t>
      </w:r>
      <w:r>
        <w:rPr>
          <w:rFonts w:ascii="Times New Roman"/>
          <w:szCs w:val="32"/>
        </w:rPr>
        <w:t>分，综合得分</w:t>
      </w:r>
      <w:r>
        <w:rPr>
          <w:rFonts w:hint="eastAsia" w:ascii="Times New Roman"/>
          <w:szCs w:val="32"/>
        </w:rPr>
        <w:t>1</w:t>
      </w:r>
      <w:r>
        <w:rPr>
          <w:rFonts w:ascii="Times New Roman"/>
          <w:szCs w:val="32"/>
        </w:rPr>
        <w:t>分。</w:t>
      </w:r>
    </w:p>
    <w:p w14:paraId="1B71399B">
      <w:pPr>
        <w:ind w:firstLine="632" w:firstLineChars="200"/>
      </w:pPr>
      <w:r>
        <w:rPr>
          <w:rFonts w:hint="eastAsia" w:ascii="微软雅黑" w:hAnsi="微软雅黑" w:eastAsia="微软雅黑" w:cs="微软雅黑"/>
        </w:rPr>
        <w:t>④</w:t>
      </w:r>
      <w:r>
        <w:rPr>
          <w:rFonts w:hint="eastAsia"/>
        </w:rPr>
        <w:t>预算调整率</w:t>
      </w:r>
    </w:p>
    <w:p w14:paraId="64B68544">
      <w:pPr>
        <w:pStyle w:val="2"/>
        <w:spacing w:line="240" w:lineRule="auto"/>
        <w:ind w:firstLine="632" w:firstLineChars="200"/>
        <w:rPr>
          <w:b w:val="0"/>
          <w:bCs/>
        </w:rPr>
      </w:pPr>
      <w:r>
        <w:rPr>
          <w:rFonts w:hint="eastAsia"/>
          <w:b w:val="0"/>
          <w:bCs/>
        </w:rPr>
        <w:t>本年部门总体预算调整率212%。</w:t>
      </w:r>
    </w:p>
    <w:p w14:paraId="2C04C549">
      <w:pPr>
        <w:ind w:firstLine="632" w:firstLineChars="200"/>
        <w:rPr>
          <w:rFonts w:ascii="Times New Roman"/>
          <w:szCs w:val="32"/>
        </w:rPr>
      </w:pPr>
      <w:r>
        <w:rPr>
          <w:rFonts w:ascii="Times New Roman"/>
          <w:szCs w:val="32"/>
        </w:rPr>
        <w:t>本项标准分值</w:t>
      </w:r>
      <w:r>
        <w:rPr>
          <w:rFonts w:hint="eastAsia" w:ascii="Times New Roman"/>
          <w:szCs w:val="32"/>
        </w:rPr>
        <w:t>2</w:t>
      </w:r>
      <w:r>
        <w:rPr>
          <w:rFonts w:ascii="Times New Roman"/>
          <w:szCs w:val="32"/>
        </w:rPr>
        <w:t>分，综合得分</w:t>
      </w:r>
      <w:r>
        <w:rPr>
          <w:rFonts w:hint="eastAsia" w:ascii="Times New Roman"/>
          <w:szCs w:val="32"/>
        </w:rPr>
        <w:t>0</w:t>
      </w:r>
      <w:r>
        <w:rPr>
          <w:rFonts w:ascii="Times New Roman"/>
          <w:szCs w:val="32"/>
        </w:rPr>
        <w:t>分。</w:t>
      </w:r>
    </w:p>
    <w:p w14:paraId="3C550FB3">
      <w:pPr>
        <w:ind w:firstLine="632" w:firstLineChars="200"/>
        <w:rPr>
          <w:rFonts w:ascii="Times New Roman"/>
          <w:szCs w:val="32"/>
        </w:rPr>
      </w:pPr>
      <w:r>
        <w:rPr>
          <w:rFonts w:hint="eastAsia" w:ascii="Times New Roman"/>
          <w:szCs w:val="32"/>
        </w:rPr>
        <w:t>（3）预算执行</w:t>
      </w:r>
    </w:p>
    <w:p w14:paraId="4DD088CE">
      <w:pPr>
        <w:ind w:firstLine="632" w:firstLineChars="200"/>
        <w:rPr>
          <w:rFonts w:ascii="Times New Roman"/>
          <w:szCs w:val="32"/>
        </w:rPr>
      </w:pPr>
      <w:r>
        <w:rPr>
          <w:rFonts w:ascii="Times New Roman"/>
          <w:szCs w:val="32"/>
        </w:rPr>
        <w:fldChar w:fldCharType="begin"/>
      </w:r>
      <w:r>
        <w:rPr>
          <w:rFonts w:ascii="Times New Roman"/>
          <w:szCs w:val="32"/>
        </w:rPr>
        <w:instrText xml:space="preserve"> = 1 \* GB3 </w:instrText>
      </w:r>
      <w:r>
        <w:rPr>
          <w:rFonts w:ascii="Times New Roman"/>
          <w:szCs w:val="32"/>
        </w:rPr>
        <w:fldChar w:fldCharType="separate"/>
      </w:r>
      <w:r>
        <w:rPr>
          <w:rFonts w:hint="eastAsia" w:ascii="宋体" w:hAnsi="宋体" w:eastAsia="宋体" w:cs="宋体"/>
          <w:szCs w:val="32"/>
        </w:rPr>
        <w:t>①</w:t>
      </w:r>
      <w:r>
        <w:rPr>
          <w:rFonts w:ascii="Times New Roman"/>
          <w:szCs w:val="32"/>
        </w:rPr>
        <w:fldChar w:fldCharType="end"/>
      </w:r>
      <w:r>
        <w:rPr>
          <w:rFonts w:hint="eastAsia" w:ascii="Times New Roman"/>
          <w:szCs w:val="32"/>
        </w:rPr>
        <w:t>预算执行率</w:t>
      </w:r>
    </w:p>
    <w:p w14:paraId="2E9174E3">
      <w:pPr>
        <w:ind w:firstLine="632" w:firstLineChars="200"/>
        <w:rPr>
          <w:rFonts w:ascii="Times New Roman"/>
          <w:szCs w:val="32"/>
        </w:rPr>
      </w:pPr>
      <w:r>
        <w:rPr>
          <w:rFonts w:hint="eastAsia" w:ascii="Times New Roman"/>
          <w:szCs w:val="32"/>
        </w:rPr>
        <w:t>本年度预算完成数与调整后的预算数一致</w:t>
      </w:r>
      <w:r>
        <w:rPr>
          <w:rFonts w:ascii="Times New Roman"/>
          <w:szCs w:val="32"/>
        </w:rPr>
        <w:t>。</w:t>
      </w:r>
    </w:p>
    <w:p w14:paraId="4D4D62D3">
      <w:pPr>
        <w:ind w:firstLine="632" w:firstLineChars="200"/>
        <w:rPr>
          <w:rFonts w:ascii="Times New Roman"/>
          <w:szCs w:val="32"/>
        </w:rPr>
      </w:pPr>
      <w:r>
        <w:rPr>
          <w:rFonts w:ascii="Times New Roman"/>
          <w:szCs w:val="32"/>
        </w:rPr>
        <w:t>本项标准分值</w:t>
      </w:r>
      <w:r>
        <w:rPr>
          <w:rFonts w:hint="eastAsia" w:ascii="Times New Roman"/>
          <w:szCs w:val="32"/>
        </w:rPr>
        <w:t>2</w:t>
      </w:r>
      <w:r>
        <w:rPr>
          <w:rFonts w:ascii="Times New Roman"/>
          <w:szCs w:val="32"/>
        </w:rPr>
        <w:t>分，综合得分2分。</w:t>
      </w:r>
    </w:p>
    <w:p w14:paraId="7578EC96">
      <w:pPr>
        <w:ind w:firstLine="632" w:firstLineChars="200"/>
        <w:rPr>
          <w:rFonts w:ascii="Times New Roman"/>
          <w:szCs w:val="32"/>
        </w:rPr>
      </w:pPr>
      <w:r>
        <w:rPr>
          <w:rFonts w:ascii="Times New Roman"/>
          <w:szCs w:val="32"/>
        </w:rPr>
        <w:fldChar w:fldCharType="begin"/>
      </w:r>
      <w:r>
        <w:rPr>
          <w:rFonts w:ascii="Times New Roman"/>
          <w:szCs w:val="32"/>
        </w:rPr>
        <w:instrText xml:space="preserve"> = 2 \* GB3 </w:instrText>
      </w:r>
      <w:r>
        <w:rPr>
          <w:rFonts w:ascii="Times New Roman"/>
          <w:szCs w:val="32"/>
        </w:rPr>
        <w:fldChar w:fldCharType="separate"/>
      </w:r>
      <w:r>
        <w:rPr>
          <w:rFonts w:hint="eastAsia" w:ascii="宋体" w:hAnsi="宋体" w:eastAsia="宋体" w:cs="宋体"/>
          <w:szCs w:val="32"/>
        </w:rPr>
        <w:t>②</w:t>
      </w:r>
      <w:r>
        <w:rPr>
          <w:rFonts w:ascii="Times New Roman"/>
          <w:szCs w:val="32"/>
        </w:rPr>
        <w:fldChar w:fldCharType="end"/>
      </w:r>
      <w:r>
        <w:rPr>
          <w:rFonts w:hint="eastAsia" w:ascii="Times New Roman"/>
          <w:szCs w:val="32"/>
        </w:rPr>
        <w:t>结转结余率</w:t>
      </w:r>
    </w:p>
    <w:p w14:paraId="71A414A0">
      <w:pPr>
        <w:ind w:firstLine="632" w:firstLineChars="200"/>
        <w:rPr>
          <w:rFonts w:ascii="Times New Roman"/>
          <w:szCs w:val="32"/>
        </w:rPr>
      </w:pPr>
      <w:r>
        <w:rPr>
          <w:rFonts w:hint="eastAsia" w:ascii="Times New Roman"/>
          <w:szCs w:val="32"/>
        </w:rPr>
        <w:t>本年度账面无结转结余</w:t>
      </w:r>
      <w:r>
        <w:rPr>
          <w:rFonts w:ascii="Times New Roman"/>
          <w:szCs w:val="32"/>
        </w:rPr>
        <w:t>。</w:t>
      </w:r>
    </w:p>
    <w:p w14:paraId="67E75D1F">
      <w:pPr>
        <w:ind w:firstLine="632" w:firstLineChars="200"/>
        <w:rPr>
          <w:rFonts w:ascii="Times New Roman"/>
          <w:szCs w:val="32"/>
        </w:rPr>
      </w:pPr>
      <w:r>
        <w:rPr>
          <w:rFonts w:ascii="Times New Roman"/>
          <w:szCs w:val="32"/>
        </w:rPr>
        <w:t>本项标准分值</w:t>
      </w:r>
      <w:r>
        <w:rPr>
          <w:rFonts w:hint="eastAsia" w:ascii="Times New Roman"/>
          <w:szCs w:val="32"/>
        </w:rPr>
        <w:t>1</w:t>
      </w:r>
      <w:r>
        <w:rPr>
          <w:rFonts w:ascii="Times New Roman"/>
          <w:szCs w:val="32"/>
        </w:rPr>
        <w:t>分，综合得分</w:t>
      </w:r>
      <w:r>
        <w:rPr>
          <w:rFonts w:hint="eastAsia" w:ascii="Times New Roman"/>
          <w:szCs w:val="32"/>
        </w:rPr>
        <w:t>1</w:t>
      </w:r>
      <w:r>
        <w:rPr>
          <w:rFonts w:ascii="Times New Roman"/>
          <w:szCs w:val="32"/>
        </w:rPr>
        <w:t>分。</w:t>
      </w:r>
    </w:p>
    <w:p w14:paraId="0CB9191B">
      <w:pPr>
        <w:pStyle w:val="2"/>
        <w:spacing w:line="240" w:lineRule="auto"/>
        <w:ind w:firstLine="632" w:firstLineChars="200"/>
        <w:rPr>
          <w:rFonts w:ascii="Times New Roman"/>
          <w:b w:val="0"/>
          <w:bCs/>
          <w:szCs w:val="32"/>
        </w:rPr>
      </w:pPr>
      <w:r>
        <w:rPr>
          <w:rFonts w:hint="eastAsia" w:ascii="宋体" w:hAnsi="宋体" w:eastAsia="宋体" w:cs="宋体"/>
          <w:b w:val="0"/>
          <w:bCs/>
          <w:szCs w:val="32"/>
        </w:rPr>
        <w:t>③</w:t>
      </w:r>
      <w:r>
        <w:rPr>
          <w:rFonts w:hint="eastAsia" w:ascii="Times New Roman"/>
          <w:b w:val="0"/>
          <w:bCs/>
          <w:szCs w:val="32"/>
        </w:rPr>
        <w:t>政府采购执行率</w:t>
      </w:r>
    </w:p>
    <w:p w14:paraId="26713828">
      <w:pPr>
        <w:pStyle w:val="2"/>
        <w:spacing w:line="240" w:lineRule="auto"/>
        <w:ind w:firstLine="632" w:firstLineChars="200"/>
        <w:rPr>
          <w:rFonts w:ascii="Times New Roman"/>
          <w:b w:val="0"/>
          <w:bCs/>
          <w:szCs w:val="32"/>
        </w:rPr>
      </w:pPr>
      <w:r>
        <w:rPr>
          <w:rFonts w:hint="eastAsia" w:ascii="Times New Roman"/>
          <w:b w:val="0"/>
          <w:bCs/>
          <w:szCs w:val="32"/>
        </w:rPr>
        <w:t>本年度实际政府采购金额不在年初预算内，属于预算调整范围。</w:t>
      </w:r>
    </w:p>
    <w:p w14:paraId="1D334CD5">
      <w:pPr>
        <w:ind w:firstLine="632" w:firstLineChars="200"/>
        <w:rPr>
          <w:rFonts w:ascii="Times New Roman"/>
          <w:szCs w:val="32"/>
        </w:rPr>
      </w:pPr>
      <w:r>
        <w:rPr>
          <w:rFonts w:ascii="Times New Roman"/>
          <w:szCs w:val="32"/>
        </w:rPr>
        <w:t>本项标准分值</w:t>
      </w:r>
      <w:r>
        <w:rPr>
          <w:rFonts w:hint="eastAsia" w:ascii="Times New Roman"/>
          <w:szCs w:val="32"/>
        </w:rPr>
        <w:t>1</w:t>
      </w:r>
      <w:r>
        <w:rPr>
          <w:rFonts w:ascii="Times New Roman"/>
          <w:szCs w:val="32"/>
        </w:rPr>
        <w:t>分，综合得分</w:t>
      </w:r>
      <w:r>
        <w:rPr>
          <w:rFonts w:hint="eastAsia" w:ascii="Times New Roman"/>
          <w:szCs w:val="32"/>
        </w:rPr>
        <w:t>1</w:t>
      </w:r>
      <w:r>
        <w:rPr>
          <w:rFonts w:ascii="Times New Roman"/>
          <w:szCs w:val="32"/>
        </w:rPr>
        <w:t>分。</w:t>
      </w:r>
    </w:p>
    <w:p w14:paraId="0A7FDBB0">
      <w:pPr>
        <w:ind w:firstLine="632" w:firstLineChars="200"/>
        <w:rPr>
          <w:rFonts w:ascii="Times New Roman"/>
          <w:bCs/>
          <w:szCs w:val="32"/>
        </w:rPr>
      </w:pPr>
      <w:r>
        <w:rPr>
          <w:rFonts w:hint="eastAsia" w:ascii="宋体" w:hAnsi="宋体" w:eastAsia="宋体" w:cs="宋体"/>
          <w:bCs/>
          <w:szCs w:val="32"/>
        </w:rPr>
        <w:t>④</w:t>
      </w:r>
      <w:r>
        <w:rPr>
          <w:rFonts w:hint="eastAsia" w:ascii="Times New Roman"/>
          <w:bCs/>
          <w:szCs w:val="32"/>
        </w:rPr>
        <w:t>非税收入预算完成率</w:t>
      </w:r>
    </w:p>
    <w:p w14:paraId="06543A1A">
      <w:pPr>
        <w:ind w:firstLine="632" w:firstLineChars="200"/>
        <w:rPr>
          <w:rFonts w:ascii="Times New Roman"/>
          <w:bCs/>
          <w:szCs w:val="32"/>
        </w:rPr>
      </w:pPr>
      <w:r>
        <w:rPr>
          <w:rFonts w:hint="eastAsia" w:ascii="Times New Roman"/>
          <w:bCs/>
          <w:szCs w:val="32"/>
        </w:rPr>
        <w:t>部门本年度无非税收入。</w:t>
      </w:r>
    </w:p>
    <w:p w14:paraId="0AF6314F">
      <w:pPr>
        <w:ind w:firstLine="632" w:firstLineChars="200"/>
        <w:rPr>
          <w:rFonts w:ascii="Times New Roman"/>
          <w:szCs w:val="32"/>
        </w:rPr>
      </w:pPr>
      <w:r>
        <w:rPr>
          <w:rFonts w:ascii="Times New Roman"/>
          <w:szCs w:val="32"/>
        </w:rPr>
        <w:t>本项标准分值</w:t>
      </w:r>
      <w:r>
        <w:rPr>
          <w:rFonts w:hint="eastAsia" w:ascii="Times New Roman"/>
          <w:szCs w:val="32"/>
        </w:rPr>
        <w:t>1</w:t>
      </w:r>
      <w:r>
        <w:rPr>
          <w:rFonts w:ascii="Times New Roman"/>
          <w:szCs w:val="32"/>
        </w:rPr>
        <w:t>分，综合得分</w:t>
      </w:r>
      <w:r>
        <w:rPr>
          <w:rFonts w:hint="eastAsia" w:ascii="Times New Roman"/>
          <w:szCs w:val="32"/>
        </w:rPr>
        <w:t>1</w:t>
      </w:r>
      <w:r>
        <w:rPr>
          <w:rFonts w:ascii="Times New Roman"/>
          <w:szCs w:val="32"/>
        </w:rPr>
        <w:t>分。</w:t>
      </w:r>
    </w:p>
    <w:p w14:paraId="62CD321D">
      <w:pPr>
        <w:pStyle w:val="2"/>
        <w:spacing w:line="240" w:lineRule="auto"/>
        <w:ind w:left="630"/>
        <w:rPr>
          <w:rFonts w:ascii="Times New Roman"/>
          <w:b w:val="0"/>
          <w:bCs/>
          <w:szCs w:val="32"/>
        </w:rPr>
      </w:pPr>
      <w:r>
        <w:rPr>
          <w:rFonts w:hint="eastAsia" w:ascii="Times New Roman"/>
          <w:b w:val="0"/>
          <w:bCs/>
          <w:szCs w:val="32"/>
        </w:rPr>
        <w:t>（4）绩效管理</w:t>
      </w:r>
    </w:p>
    <w:p w14:paraId="3CABBC68">
      <w:pPr>
        <w:ind w:firstLine="632" w:firstLineChars="200"/>
        <w:rPr>
          <w:rFonts w:ascii="Times New Roman"/>
          <w:szCs w:val="32"/>
        </w:rPr>
      </w:pPr>
      <w:r>
        <w:rPr>
          <w:rFonts w:ascii="Times New Roman"/>
          <w:szCs w:val="32"/>
        </w:rPr>
        <w:fldChar w:fldCharType="begin"/>
      </w:r>
      <w:r>
        <w:rPr>
          <w:rFonts w:ascii="Times New Roman"/>
          <w:szCs w:val="32"/>
        </w:rPr>
        <w:instrText xml:space="preserve"> = 1 \* GB3 </w:instrText>
      </w:r>
      <w:r>
        <w:rPr>
          <w:rFonts w:ascii="Times New Roman"/>
          <w:szCs w:val="32"/>
        </w:rPr>
        <w:fldChar w:fldCharType="separate"/>
      </w:r>
      <w:r>
        <w:rPr>
          <w:rFonts w:hint="eastAsia" w:ascii="宋体" w:hAnsi="宋体" w:eastAsia="宋体" w:cs="宋体"/>
          <w:szCs w:val="32"/>
        </w:rPr>
        <w:t>①</w:t>
      </w:r>
      <w:r>
        <w:rPr>
          <w:rFonts w:ascii="Times New Roman"/>
          <w:szCs w:val="32"/>
        </w:rPr>
        <w:fldChar w:fldCharType="end"/>
      </w:r>
      <w:r>
        <w:rPr>
          <w:rFonts w:hint="eastAsia" w:ascii="Times New Roman"/>
          <w:szCs w:val="32"/>
        </w:rPr>
        <w:t>事前绩效评估完成率</w:t>
      </w:r>
    </w:p>
    <w:p w14:paraId="77F32633">
      <w:pPr>
        <w:ind w:firstLine="632" w:firstLineChars="200"/>
        <w:rPr>
          <w:rFonts w:ascii="Times New Roman"/>
          <w:szCs w:val="32"/>
        </w:rPr>
      </w:pPr>
      <w:r>
        <w:rPr>
          <w:rFonts w:hint="eastAsia" w:ascii="Times New Roman"/>
          <w:bCs/>
          <w:szCs w:val="32"/>
        </w:rPr>
        <w:t>部门本年度无事前绩效评估事项。</w:t>
      </w:r>
    </w:p>
    <w:p w14:paraId="76ADE32A">
      <w:pPr>
        <w:ind w:firstLine="632" w:firstLineChars="200"/>
        <w:rPr>
          <w:rFonts w:ascii="Times New Roman"/>
          <w:szCs w:val="32"/>
        </w:rPr>
      </w:pPr>
      <w:r>
        <w:rPr>
          <w:rFonts w:ascii="Times New Roman"/>
          <w:szCs w:val="32"/>
        </w:rPr>
        <w:t>本项标准分值</w:t>
      </w:r>
      <w:r>
        <w:rPr>
          <w:rFonts w:hint="eastAsia" w:ascii="Times New Roman"/>
          <w:szCs w:val="32"/>
        </w:rPr>
        <w:t>1</w:t>
      </w:r>
      <w:r>
        <w:rPr>
          <w:rFonts w:ascii="Times New Roman"/>
          <w:szCs w:val="32"/>
        </w:rPr>
        <w:t>分，综合得分</w:t>
      </w:r>
      <w:r>
        <w:rPr>
          <w:rFonts w:hint="eastAsia" w:ascii="Times New Roman"/>
          <w:szCs w:val="32"/>
        </w:rPr>
        <w:t>1</w:t>
      </w:r>
      <w:r>
        <w:rPr>
          <w:rFonts w:ascii="Times New Roman"/>
          <w:szCs w:val="32"/>
        </w:rPr>
        <w:t>分。</w:t>
      </w:r>
    </w:p>
    <w:p w14:paraId="01C8E21C">
      <w:pPr>
        <w:pStyle w:val="2"/>
        <w:spacing w:line="240" w:lineRule="auto"/>
        <w:ind w:firstLine="632" w:firstLineChars="200"/>
        <w:rPr>
          <w:rFonts w:ascii="Times New Roman"/>
          <w:b w:val="0"/>
          <w:bCs/>
          <w:szCs w:val="32"/>
        </w:rPr>
      </w:pPr>
      <w:r>
        <w:rPr>
          <w:rFonts w:ascii="Times New Roman"/>
          <w:b w:val="0"/>
          <w:bCs/>
          <w:szCs w:val="32"/>
        </w:rPr>
        <w:fldChar w:fldCharType="begin"/>
      </w:r>
      <w:r>
        <w:rPr>
          <w:rFonts w:ascii="Times New Roman"/>
          <w:b w:val="0"/>
          <w:bCs/>
          <w:szCs w:val="32"/>
        </w:rPr>
        <w:instrText xml:space="preserve"> = 2 \* GB3 </w:instrText>
      </w:r>
      <w:r>
        <w:rPr>
          <w:rFonts w:ascii="Times New Roman"/>
          <w:b w:val="0"/>
          <w:bCs/>
          <w:szCs w:val="32"/>
        </w:rPr>
        <w:fldChar w:fldCharType="separate"/>
      </w:r>
      <w:r>
        <w:rPr>
          <w:rFonts w:hint="eastAsia" w:ascii="宋体" w:hAnsi="宋体" w:eastAsia="宋体" w:cs="宋体"/>
          <w:b w:val="0"/>
          <w:bCs/>
          <w:szCs w:val="32"/>
        </w:rPr>
        <w:t>②</w:t>
      </w:r>
      <w:r>
        <w:rPr>
          <w:rFonts w:ascii="Times New Roman"/>
          <w:b w:val="0"/>
          <w:bCs/>
          <w:szCs w:val="32"/>
        </w:rPr>
        <w:fldChar w:fldCharType="end"/>
      </w:r>
      <w:r>
        <w:rPr>
          <w:rFonts w:hint="eastAsia" w:ascii="Times New Roman"/>
          <w:b w:val="0"/>
          <w:bCs/>
          <w:szCs w:val="32"/>
        </w:rPr>
        <w:t>绩效目标合理性</w:t>
      </w:r>
    </w:p>
    <w:p w14:paraId="6BB8A069">
      <w:pPr>
        <w:pStyle w:val="2"/>
        <w:spacing w:line="240" w:lineRule="auto"/>
        <w:ind w:firstLine="632" w:firstLineChars="200"/>
        <w:rPr>
          <w:rFonts w:ascii="Times New Roman"/>
          <w:b w:val="0"/>
          <w:bCs/>
          <w:szCs w:val="32"/>
        </w:rPr>
      </w:pPr>
      <w:r>
        <w:rPr>
          <w:rFonts w:hint="eastAsia" w:ascii="Times New Roman"/>
          <w:b w:val="0"/>
          <w:bCs/>
          <w:szCs w:val="32"/>
        </w:rPr>
        <w:t>本年度项目支出有设置绩效目标，但相关燃油补助目标未结合实际情况，不够合理。</w:t>
      </w:r>
    </w:p>
    <w:p w14:paraId="178A3F87">
      <w:pPr>
        <w:ind w:firstLine="632" w:firstLineChars="200"/>
        <w:rPr>
          <w:rFonts w:ascii="Times New Roman"/>
          <w:bCs/>
          <w:szCs w:val="32"/>
        </w:rPr>
      </w:pPr>
      <w:r>
        <w:rPr>
          <w:rFonts w:ascii="Times New Roman"/>
          <w:bCs/>
          <w:szCs w:val="32"/>
        </w:rPr>
        <w:t>本项标准分值</w:t>
      </w:r>
      <w:r>
        <w:rPr>
          <w:rFonts w:hint="eastAsia" w:ascii="Times New Roman"/>
          <w:bCs/>
          <w:szCs w:val="32"/>
        </w:rPr>
        <w:t>1</w:t>
      </w:r>
      <w:r>
        <w:rPr>
          <w:rFonts w:ascii="Times New Roman"/>
          <w:bCs/>
          <w:szCs w:val="32"/>
        </w:rPr>
        <w:t>分，综合得分</w:t>
      </w:r>
      <w:r>
        <w:rPr>
          <w:rFonts w:hint="eastAsia" w:ascii="Times New Roman"/>
          <w:bCs/>
          <w:szCs w:val="32"/>
        </w:rPr>
        <w:t>0.5</w:t>
      </w:r>
      <w:r>
        <w:rPr>
          <w:rFonts w:ascii="Times New Roman"/>
          <w:bCs/>
          <w:szCs w:val="32"/>
        </w:rPr>
        <w:t>分。</w:t>
      </w:r>
    </w:p>
    <w:p w14:paraId="0780D4A9">
      <w:pPr>
        <w:ind w:firstLine="632" w:firstLineChars="200"/>
        <w:rPr>
          <w:rFonts w:ascii="Times New Roman"/>
          <w:bCs/>
          <w:szCs w:val="32"/>
        </w:rPr>
      </w:pPr>
      <w:r>
        <w:rPr>
          <w:rFonts w:hint="eastAsia" w:ascii="宋体" w:hAnsi="宋体" w:eastAsia="宋体" w:cs="宋体"/>
          <w:bCs/>
          <w:szCs w:val="32"/>
        </w:rPr>
        <w:t>③</w:t>
      </w:r>
      <w:r>
        <w:rPr>
          <w:rFonts w:hint="eastAsia" w:ascii="Times New Roman"/>
          <w:bCs/>
          <w:szCs w:val="32"/>
        </w:rPr>
        <w:t>绩效监控开展率</w:t>
      </w:r>
    </w:p>
    <w:p w14:paraId="66C338B3">
      <w:pPr>
        <w:ind w:firstLine="632" w:firstLineChars="200"/>
        <w:rPr>
          <w:rFonts w:ascii="Times New Roman"/>
          <w:bCs/>
          <w:szCs w:val="32"/>
        </w:rPr>
      </w:pPr>
      <w:r>
        <w:rPr>
          <w:rFonts w:hint="eastAsia" w:ascii="Times New Roman"/>
          <w:bCs/>
          <w:szCs w:val="32"/>
        </w:rPr>
        <w:t>部门有对本年度所有项目支出进行监控，并做汇总。</w:t>
      </w:r>
    </w:p>
    <w:p w14:paraId="73A07C6D">
      <w:pPr>
        <w:ind w:firstLine="632" w:firstLineChars="200"/>
        <w:rPr>
          <w:rFonts w:ascii="Times New Roman"/>
          <w:bCs/>
          <w:szCs w:val="32"/>
        </w:rPr>
      </w:pPr>
      <w:r>
        <w:rPr>
          <w:rFonts w:ascii="Times New Roman"/>
          <w:bCs/>
          <w:szCs w:val="32"/>
        </w:rPr>
        <w:t>本项标准分值</w:t>
      </w:r>
      <w:r>
        <w:rPr>
          <w:rFonts w:hint="eastAsia" w:ascii="Times New Roman"/>
          <w:bCs/>
          <w:szCs w:val="32"/>
        </w:rPr>
        <w:t>1</w:t>
      </w:r>
      <w:r>
        <w:rPr>
          <w:rFonts w:ascii="Times New Roman"/>
          <w:bCs/>
          <w:szCs w:val="32"/>
        </w:rPr>
        <w:t>分，综合得分</w:t>
      </w:r>
      <w:r>
        <w:rPr>
          <w:rFonts w:hint="eastAsia" w:ascii="Times New Roman"/>
          <w:bCs/>
          <w:szCs w:val="32"/>
        </w:rPr>
        <w:t>1</w:t>
      </w:r>
      <w:r>
        <w:rPr>
          <w:rFonts w:ascii="Times New Roman"/>
          <w:bCs/>
          <w:szCs w:val="32"/>
        </w:rPr>
        <w:t>分。</w:t>
      </w:r>
    </w:p>
    <w:p w14:paraId="317C01E5">
      <w:pPr>
        <w:ind w:firstLine="632" w:firstLineChars="200"/>
        <w:rPr>
          <w:rFonts w:ascii="Times New Roman"/>
          <w:bCs/>
          <w:szCs w:val="32"/>
        </w:rPr>
      </w:pPr>
      <w:r>
        <w:rPr>
          <w:rFonts w:hint="eastAsia" w:ascii="宋体" w:hAnsi="宋体" w:eastAsia="宋体" w:cs="宋体"/>
          <w:bCs/>
          <w:szCs w:val="32"/>
        </w:rPr>
        <w:t>④</w:t>
      </w:r>
      <w:r>
        <w:rPr>
          <w:rFonts w:hint="eastAsia" w:ascii="Times New Roman"/>
          <w:bCs/>
          <w:szCs w:val="32"/>
        </w:rPr>
        <w:t>绩效评价覆盖率</w:t>
      </w:r>
    </w:p>
    <w:p w14:paraId="710023FA">
      <w:pPr>
        <w:ind w:firstLine="632" w:firstLineChars="200"/>
        <w:rPr>
          <w:rFonts w:ascii="Times New Roman"/>
          <w:szCs w:val="32"/>
        </w:rPr>
      </w:pPr>
      <w:r>
        <w:rPr>
          <w:rFonts w:hint="eastAsia" w:ascii="Times New Roman"/>
          <w:szCs w:val="32"/>
        </w:rPr>
        <w:t>本年度有开展部门整体自评工作。</w:t>
      </w:r>
    </w:p>
    <w:p w14:paraId="557669EE">
      <w:pPr>
        <w:ind w:firstLine="632" w:firstLineChars="200"/>
        <w:rPr>
          <w:rFonts w:ascii="Times New Roman"/>
          <w:bCs/>
          <w:szCs w:val="32"/>
        </w:rPr>
      </w:pPr>
      <w:r>
        <w:rPr>
          <w:rFonts w:ascii="Times New Roman"/>
          <w:bCs/>
          <w:szCs w:val="32"/>
        </w:rPr>
        <w:t>本项标准分值</w:t>
      </w:r>
      <w:r>
        <w:rPr>
          <w:rFonts w:hint="eastAsia" w:ascii="Times New Roman"/>
          <w:bCs/>
          <w:szCs w:val="32"/>
        </w:rPr>
        <w:t>1</w:t>
      </w:r>
      <w:r>
        <w:rPr>
          <w:rFonts w:ascii="Times New Roman"/>
          <w:bCs/>
          <w:szCs w:val="32"/>
        </w:rPr>
        <w:t>分，综合得分</w:t>
      </w:r>
      <w:r>
        <w:rPr>
          <w:rFonts w:hint="eastAsia" w:ascii="Times New Roman"/>
          <w:bCs/>
          <w:szCs w:val="32"/>
        </w:rPr>
        <w:t>1</w:t>
      </w:r>
      <w:r>
        <w:rPr>
          <w:rFonts w:ascii="Times New Roman"/>
          <w:bCs/>
          <w:szCs w:val="32"/>
        </w:rPr>
        <w:t>分。</w:t>
      </w:r>
    </w:p>
    <w:p w14:paraId="6007EDD1">
      <w:pPr>
        <w:ind w:firstLine="632" w:firstLineChars="200"/>
        <w:rPr>
          <w:rFonts w:ascii="Times New Roman"/>
          <w:szCs w:val="32"/>
        </w:rPr>
      </w:pPr>
      <w:r>
        <w:rPr>
          <w:rFonts w:ascii="Times New Roman"/>
          <w:szCs w:val="32"/>
        </w:rPr>
        <w:fldChar w:fldCharType="begin"/>
      </w:r>
      <w:r>
        <w:rPr>
          <w:rFonts w:ascii="Times New Roman"/>
          <w:szCs w:val="32"/>
        </w:rPr>
        <w:instrText xml:space="preserve"> </w:instrText>
      </w:r>
      <w:r>
        <w:rPr>
          <w:rFonts w:hint="eastAsia" w:ascii="Times New Roman"/>
          <w:szCs w:val="32"/>
        </w:rPr>
        <w:instrText xml:space="preserve">= 5 \* GB3</w:instrText>
      </w:r>
      <w:r>
        <w:rPr>
          <w:rFonts w:ascii="Times New Roman"/>
          <w:szCs w:val="32"/>
        </w:rPr>
        <w:instrText xml:space="preserve"> </w:instrText>
      </w:r>
      <w:r>
        <w:rPr>
          <w:rFonts w:ascii="Times New Roman"/>
          <w:szCs w:val="32"/>
        </w:rPr>
        <w:fldChar w:fldCharType="separate"/>
      </w:r>
      <w:r>
        <w:rPr>
          <w:rFonts w:hint="eastAsia" w:ascii="Times New Roman"/>
          <w:szCs w:val="32"/>
        </w:rPr>
        <w:t>⑤</w:t>
      </w:r>
      <w:r>
        <w:rPr>
          <w:rFonts w:ascii="Times New Roman"/>
          <w:szCs w:val="32"/>
        </w:rPr>
        <w:fldChar w:fldCharType="end"/>
      </w:r>
      <w:r>
        <w:rPr>
          <w:rFonts w:hint="eastAsia" w:ascii="Times New Roman"/>
          <w:szCs w:val="32"/>
        </w:rPr>
        <w:t>评价结果应用率</w:t>
      </w:r>
    </w:p>
    <w:p w14:paraId="1FE98BD1">
      <w:pPr>
        <w:ind w:firstLine="632" w:firstLineChars="200"/>
      </w:pPr>
      <w:r>
        <w:rPr>
          <w:rFonts w:hint="eastAsia" w:ascii="Times New Roman"/>
          <w:szCs w:val="32"/>
        </w:rPr>
        <w:t>以前年度康复儿童信息录入准确性问题在本年度得到整改，但燃油补助资金结余情况在本年度仍然存在，扣0.5分</w:t>
      </w:r>
    </w:p>
    <w:p w14:paraId="36F43589">
      <w:pPr>
        <w:ind w:firstLine="632" w:firstLineChars="200"/>
        <w:rPr>
          <w:rFonts w:ascii="Times New Roman"/>
          <w:szCs w:val="32"/>
        </w:rPr>
      </w:pPr>
      <w:r>
        <w:rPr>
          <w:rFonts w:ascii="Times New Roman"/>
          <w:szCs w:val="32"/>
        </w:rPr>
        <w:t>本项标准分值</w:t>
      </w:r>
      <w:r>
        <w:rPr>
          <w:rFonts w:hint="eastAsia" w:ascii="Times New Roman"/>
          <w:szCs w:val="32"/>
        </w:rPr>
        <w:t>1</w:t>
      </w:r>
      <w:r>
        <w:rPr>
          <w:rFonts w:ascii="Times New Roman"/>
          <w:szCs w:val="32"/>
        </w:rPr>
        <w:t>分，综合得分</w:t>
      </w:r>
      <w:r>
        <w:rPr>
          <w:rFonts w:hint="eastAsia" w:ascii="Times New Roman"/>
          <w:szCs w:val="32"/>
        </w:rPr>
        <w:t>0.5</w:t>
      </w:r>
      <w:r>
        <w:rPr>
          <w:rFonts w:ascii="Times New Roman"/>
          <w:szCs w:val="32"/>
        </w:rPr>
        <w:t>分。</w:t>
      </w:r>
    </w:p>
    <w:p w14:paraId="4C2D8B1F">
      <w:pPr>
        <w:ind w:firstLine="632" w:firstLineChars="200"/>
        <w:rPr>
          <w:rFonts w:ascii="Times New Roman"/>
          <w:szCs w:val="32"/>
        </w:rPr>
      </w:pPr>
      <w:r>
        <w:rPr>
          <w:rFonts w:hint="eastAsia" w:ascii="Times New Roman"/>
          <w:szCs w:val="32"/>
        </w:rPr>
        <w:t>（5）</w:t>
      </w:r>
      <w:r>
        <w:rPr>
          <w:rFonts w:hint="eastAsia"/>
        </w:rPr>
        <w:t>资产管理</w:t>
      </w:r>
    </w:p>
    <w:p w14:paraId="41190071">
      <w:pPr>
        <w:pStyle w:val="2"/>
        <w:spacing w:line="240" w:lineRule="auto"/>
        <w:ind w:firstLine="632" w:firstLineChars="200"/>
        <w:rPr>
          <w:b w:val="0"/>
          <w:bCs/>
        </w:rPr>
      </w:pPr>
      <w:r>
        <w:rPr>
          <w:rFonts w:ascii="Times New Roman"/>
          <w:b w:val="0"/>
          <w:bCs/>
          <w:szCs w:val="32"/>
        </w:rPr>
        <w:fldChar w:fldCharType="begin"/>
      </w:r>
      <w:r>
        <w:rPr>
          <w:rFonts w:ascii="Times New Roman"/>
          <w:b w:val="0"/>
          <w:bCs/>
          <w:szCs w:val="32"/>
        </w:rPr>
        <w:instrText xml:space="preserve"> = 1 \* GB3 </w:instrText>
      </w:r>
      <w:r>
        <w:rPr>
          <w:rFonts w:ascii="Times New Roman"/>
          <w:b w:val="0"/>
          <w:bCs/>
          <w:szCs w:val="32"/>
        </w:rPr>
        <w:fldChar w:fldCharType="separate"/>
      </w:r>
      <w:r>
        <w:rPr>
          <w:rFonts w:hint="eastAsia" w:ascii="宋体" w:hAnsi="宋体" w:eastAsia="宋体" w:cs="宋体"/>
          <w:b w:val="0"/>
          <w:bCs/>
          <w:szCs w:val="32"/>
        </w:rPr>
        <w:t>①</w:t>
      </w:r>
      <w:r>
        <w:rPr>
          <w:rFonts w:ascii="Times New Roman"/>
          <w:b w:val="0"/>
          <w:bCs/>
          <w:szCs w:val="32"/>
        </w:rPr>
        <w:fldChar w:fldCharType="end"/>
      </w:r>
      <w:r>
        <w:rPr>
          <w:rFonts w:hint="eastAsia"/>
          <w:b w:val="0"/>
          <w:bCs/>
        </w:rPr>
        <w:t>资产管理制度健全性</w:t>
      </w:r>
    </w:p>
    <w:p w14:paraId="46EF5474">
      <w:pPr>
        <w:pStyle w:val="2"/>
        <w:spacing w:line="240" w:lineRule="auto"/>
        <w:ind w:firstLine="632" w:firstLineChars="200"/>
        <w:rPr>
          <w:b w:val="0"/>
          <w:bCs/>
        </w:rPr>
      </w:pPr>
      <w:r>
        <w:rPr>
          <w:rFonts w:hint="eastAsia"/>
          <w:b w:val="0"/>
          <w:bCs/>
        </w:rPr>
        <w:t>部门有制定相关的资产管理制度。</w:t>
      </w:r>
    </w:p>
    <w:p w14:paraId="2EE0C2E9">
      <w:pPr>
        <w:ind w:firstLine="632" w:firstLineChars="200"/>
        <w:rPr>
          <w:rFonts w:ascii="Times New Roman"/>
          <w:szCs w:val="32"/>
        </w:rPr>
      </w:pPr>
      <w:r>
        <w:rPr>
          <w:rFonts w:ascii="Times New Roman"/>
          <w:szCs w:val="32"/>
        </w:rPr>
        <w:t>本项标准分值</w:t>
      </w:r>
      <w:r>
        <w:rPr>
          <w:rFonts w:hint="eastAsia" w:ascii="Times New Roman"/>
          <w:szCs w:val="32"/>
        </w:rPr>
        <w:t>1</w:t>
      </w:r>
      <w:r>
        <w:rPr>
          <w:rFonts w:ascii="Times New Roman"/>
          <w:szCs w:val="32"/>
        </w:rPr>
        <w:t>分，综合得分</w:t>
      </w:r>
      <w:r>
        <w:rPr>
          <w:rFonts w:hint="eastAsia" w:ascii="Times New Roman"/>
          <w:szCs w:val="32"/>
        </w:rPr>
        <w:t>1</w:t>
      </w:r>
      <w:r>
        <w:rPr>
          <w:rFonts w:ascii="Times New Roman"/>
          <w:szCs w:val="32"/>
        </w:rPr>
        <w:t>分。</w:t>
      </w:r>
    </w:p>
    <w:p w14:paraId="2932E2C2">
      <w:pPr>
        <w:ind w:firstLine="632" w:firstLineChars="200"/>
      </w:pPr>
      <w:r>
        <w:rPr>
          <w:rFonts w:ascii="Times New Roman"/>
          <w:szCs w:val="32"/>
        </w:rPr>
        <w:fldChar w:fldCharType="begin"/>
      </w:r>
      <w:r>
        <w:rPr>
          <w:rFonts w:ascii="Times New Roman"/>
          <w:szCs w:val="32"/>
        </w:rPr>
        <w:instrText xml:space="preserve"> = 2 \* GB3 </w:instrText>
      </w:r>
      <w:r>
        <w:rPr>
          <w:rFonts w:ascii="Times New Roman"/>
          <w:szCs w:val="32"/>
        </w:rPr>
        <w:fldChar w:fldCharType="separate"/>
      </w:r>
      <w:r>
        <w:rPr>
          <w:rFonts w:hint="eastAsia" w:ascii="宋体" w:hAnsi="宋体" w:eastAsia="宋体" w:cs="宋体"/>
          <w:szCs w:val="32"/>
        </w:rPr>
        <w:t>②</w:t>
      </w:r>
      <w:r>
        <w:rPr>
          <w:rFonts w:ascii="Times New Roman"/>
          <w:szCs w:val="32"/>
        </w:rPr>
        <w:fldChar w:fldCharType="end"/>
      </w:r>
      <w:r>
        <w:rPr>
          <w:rFonts w:hint="eastAsia"/>
        </w:rPr>
        <w:t>资产管理规范性</w:t>
      </w:r>
    </w:p>
    <w:p w14:paraId="5E661787">
      <w:pPr>
        <w:ind w:firstLine="632" w:firstLineChars="200"/>
      </w:pPr>
      <w:r>
        <w:rPr>
          <w:rFonts w:hint="eastAsia"/>
          <w:bCs/>
        </w:rPr>
        <w:t>部门本年度有按照资产管理制度进行资产管理。</w:t>
      </w:r>
    </w:p>
    <w:p w14:paraId="63731E8D">
      <w:pPr>
        <w:ind w:firstLine="632" w:firstLineChars="200"/>
        <w:rPr>
          <w:rFonts w:ascii="Times New Roman"/>
          <w:szCs w:val="32"/>
        </w:rPr>
      </w:pPr>
      <w:r>
        <w:rPr>
          <w:rFonts w:ascii="Times New Roman"/>
          <w:szCs w:val="32"/>
        </w:rPr>
        <w:t>本项标准分值</w:t>
      </w:r>
      <w:r>
        <w:rPr>
          <w:rFonts w:hint="eastAsia" w:ascii="Times New Roman"/>
          <w:szCs w:val="32"/>
        </w:rPr>
        <w:t>1</w:t>
      </w:r>
      <w:r>
        <w:rPr>
          <w:rFonts w:ascii="Times New Roman"/>
          <w:szCs w:val="32"/>
        </w:rPr>
        <w:t>分，综合得分</w:t>
      </w:r>
      <w:r>
        <w:rPr>
          <w:rFonts w:hint="eastAsia" w:ascii="Times New Roman"/>
          <w:szCs w:val="32"/>
        </w:rPr>
        <w:t>1</w:t>
      </w:r>
      <w:r>
        <w:rPr>
          <w:rFonts w:ascii="Times New Roman"/>
          <w:szCs w:val="32"/>
        </w:rPr>
        <w:t>分。</w:t>
      </w:r>
    </w:p>
    <w:p w14:paraId="54A1F141">
      <w:pPr>
        <w:ind w:firstLine="632" w:firstLineChars="200"/>
        <w:rPr>
          <w:rFonts w:ascii="Times New Roman"/>
          <w:szCs w:val="32"/>
        </w:rPr>
      </w:pPr>
      <w:r>
        <w:rPr>
          <w:rFonts w:hint="eastAsia" w:ascii="Times New Roman"/>
          <w:szCs w:val="32"/>
        </w:rPr>
        <w:t>（6）</w:t>
      </w:r>
      <w:r>
        <w:rPr>
          <w:rFonts w:hint="eastAsia"/>
          <w:bCs/>
        </w:rPr>
        <w:t>财务管理</w:t>
      </w:r>
    </w:p>
    <w:p w14:paraId="04F375D7">
      <w:pPr>
        <w:ind w:firstLine="632" w:firstLineChars="200"/>
      </w:pPr>
      <w:r>
        <w:rPr>
          <w:rFonts w:ascii="Times New Roman"/>
          <w:szCs w:val="32"/>
        </w:rPr>
        <w:fldChar w:fldCharType="begin"/>
      </w:r>
      <w:r>
        <w:rPr>
          <w:rFonts w:ascii="Times New Roman"/>
          <w:szCs w:val="32"/>
        </w:rPr>
        <w:instrText xml:space="preserve"> = 1 \* GB3 </w:instrText>
      </w:r>
      <w:r>
        <w:rPr>
          <w:rFonts w:ascii="Times New Roman"/>
          <w:szCs w:val="32"/>
        </w:rPr>
        <w:fldChar w:fldCharType="separate"/>
      </w:r>
      <w:r>
        <w:rPr>
          <w:rFonts w:hint="eastAsia" w:ascii="宋体" w:hAnsi="宋体" w:eastAsia="宋体" w:cs="宋体"/>
          <w:szCs w:val="32"/>
        </w:rPr>
        <w:t>①</w:t>
      </w:r>
      <w:r>
        <w:rPr>
          <w:rFonts w:ascii="Times New Roman"/>
          <w:szCs w:val="32"/>
        </w:rPr>
        <w:fldChar w:fldCharType="end"/>
      </w:r>
      <w:r>
        <w:rPr>
          <w:rFonts w:hint="eastAsia"/>
        </w:rPr>
        <w:t>财务管理制度健全性</w:t>
      </w:r>
    </w:p>
    <w:p w14:paraId="1670A9EB">
      <w:pPr>
        <w:ind w:firstLine="632" w:firstLineChars="200"/>
      </w:pPr>
      <w:r>
        <w:rPr>
          <w:rFonts w:hint="eastAsia"/>
        </w:rPr>
        <w:t>部门有制定相关的财务管理制度。</w:t>
      </w:r>
    </w:p>
    <w:p w14:paraId="5867D436">
      <w:pPr>
        <w:ind w:firstLine="632" w:firstLineChars="200"/>
        <w:rPr>
          <w:rFonts w:ascii="Times New Roman"/>
          <w:szCs w:val="32"/>
        </w:rPr>
      </w:pPr>
      <w:r>
        <w:rPr>
          <w:rFonts w:ascii="Times New Roman"/>
          <w:szCs w:val="32"/>
        </w:rPr>
        <w:t>本项标准分值</w:t>
      </w:r>
      <w:r>
        <w:rPr>
          <w:rFonts w:hint="eastAsia" w:ascii="Times New Roman"/>
          <w:szCs w:val="32"/>
        </w:rPr>
        <w:t>1</w:t>
      </w:r>
      <w:r>
        <w:rPr>
          <w:rFonts w:ascii="Times New Roman"/>
          <w:szCs w:val="32"/>
        </w:rPr>
        <w:t>分，综合得分</w:t>
      </w:r>
      <w:r>
        <w:rPr>
          <w:rFonts w:hint="eastAsia" w:ascii="Times New Roman"/>
          <w:szCs w:val="32"/>
        </w:rPr>
        <w:t>1</w:t>
      </w:r>
      <w:r>
        <w:rPr>
          <w:rFonts w:ascii="Times New Roman"/>
          <w:szCs w:val="32"/>
        </w:rPr>
        <w:t>分。</w:t>
      </w:r>
    </w:p>
    <w:p w14:paraId="7619BC0C">
      <w:pPr>
        <w:pStyle w:val="2"/>
        <w:spacing w:line="240" w:lineRule="auto"/>
        <w:ind w:firstLine="632" w:firstLineChars="200"/>
        <w:rPr>
          <w:b w:val="0"/>
          <w:bCs/>
        </w:rPr>
      </w:pPr>
      <w:r>
        <w:rPr>
          <w:rFonts w:ascii="Times New Roman"/>
          <w:b w:val="0"/>
          <w:szCs w:val="32"/>
        </w:rPr>
        <w:fldChar w:fldCharType="begin"/>
      </w:r>
      <w:r>
        <w:rPr>
          <w:rFonts w:ascii="Times New Roman"/>
          <w:b w:val="0"/>
          <w:szCs w:val="32"/>
        </w:rPr>
        <w:instrText xml:space="preserve"> = 2 \* GB3 </w:instrText>
      </w:r>
      <w:r>
        <w:rPr>
          <w:rFonts w:ascii="Times New Roman"/>
          <w:b w:val="0"/>
          <w:szCs w:val="32"/>
        </w:rPr>
        <w:fldChar w:fldCharType="separate"/>
      </w:r>
      <w:r>
        <w:rPr>
          <w:rFonts w:hint="eastAsia" w:ascii="宋体" w:hAnsi="宋体" w:eastAsia="宋体" w:cs="宋体"/>
          <w:b w:val="0"/>
          <w:szCs w:val="32"/>
        </w:rPr>
        <w:t>②</w:t>
      </w:r>
      <w:r>
        <w:rPr>
          <w:rFonts w:ascii="Times New Roman"/>
          <w:b w:val="0"/>
          <w:szCs w:val="32"/>
        </w:rPr>
        <w:fldChar w:fldCharType="end"/>
      </w:r>
      <w:r>
        <w:rPr>
          <w:rFonts w:hint="eastAsia"/>
          <w:b w:val="0"/>
          <w:bCs/>
        </w:rPr>
        <w:t>会计核算规范性</w:t>
      </w:r>
    </w:p>
    <w:p w14:paraId="0F999C50">
      <w:pPr>
        <w:pStyle w:val="2"/>
        <w:spacing w:line="240" w:lineRule="auto"/>
        <w:ind w:firstLine="632" w:firstLineChars="200"/>
        <w:rPr>
          <w:b w:val="0"/>
          <w:bCs/>
        </w:rPr>
      </w:pPr>
      <w:r>
        <w:rPr>
          <w:rFonts w:hint="eastAsia"/>
          <w:b w:val="0"/>
          <w:bCs/>
        </w:rPr>
        <w:t>本年度会计核算符合国家财经法规和财务管理制度及专项资金管理的有关规定。</w:t>
      </w:r>
    </w:p>
    <w:p w14:paraId="3C77D562">
      <w:pPr>
        <w:ind w:firstLine="632" w:firstLineChars="200"/>
        <w:rPr>
          <w:rFonts w:ascii="Times New Roman"/>
          <w:szCs w:val="32"/>
        </w:rPr>
      </w:pPr>
      <w:r>
        <w:rPr>
          <w:rFonts w:ascii="Times New Roman"/>
          <w:szCs w:val="32"/>
        </w:rPr>
        <w:t>本项标准分值</w:t>
      </w:r>
      <w:r>
        <w:rPr>
          <w:rFonts w:hint="eastAsia" w:ascii="Times New Roman"/>
          <w:szCs w:val="32"/>
        </w:rPr>
        <w:t>1</w:t>
      </w:r>
      <w:r>
        <w:rPr>
          <w:rFonts w:ascii="Times New Roman"/>
          <w:szCs w:val="32"/>
        </w:rPr>
        <w:t>分，综合得分</w:t>
      </w:r>
      <w:r>
        <w:rPr>
          <w:rFonts w:hint="eastAsia" w:ascii="Times New Roman"/>
          <w:szCs w:val="32"/>
        </w:rPr>
        <w:t>1</w:t>
      </w:r>
      <w:r>
        <w:rPr>
          <w:rFonts w:ascii="Times New Roman"/>
          <w:szCs w:val="32"/>
        </w:rPr>
        <w:t>分。</w:t>
      </w:r>
    </w:p>
    <w:p w14:paraId="781A1808">
      <w:pPr>
        <w:ind w:firstLine="632" w:firstLineChars="200"/>
      </w:pPr>
      <w:r>
        <w:rPr>
          <w:rFonts w:hint="eastAsia" w:ascii="宋体" w:hAnsi="宋体" w:eastAsia="宋体" w:cs="宋体"/>
          <w:bCs/>
          <w:szCs w:val="32"/>
        </w:rPr>
        <w:t>③</w:t>
      </w:r>
      <w:r>
        <w:rPr>
          <w:rFonts w:hint="eastAsia"/>
        </w:rPr>
        <w:t>资金使用合规性</w:t>
      </w:r>
    </w:p>
    <w:p w14:paraId="3443E796">
      <w:pPr>
        <w:ind w:firstLine="632" w:firstLineChars="200"/>
      </w:pPr>
      <w:r>
        <w:rPr>
          <w:rFonts w:hint="eastAsia"/>
          <w:bCs/>
        </w:rPr>
        <w:t>本年度资金使用符合相关规定，未发现截留、挤占、挪用虚列等情况，资金支付有完整的审批程序和手续。</w:t>
      </w:r>
    </w:p>
    <w:p w14:paraId="3FC59647">
      <w:pPr>
        <w:ind w:firstLine="632" w:firstLineChars="200"/>
        <w:rPr>
          <w:rFonts w:ascii="Times New Roman"/>
          <w:bCs/>
          <w:szCs w:val="32"/>
        </w:rPr>
      </w:pPr>
      <w:r>
        <w:rPr>
          <w:rFonts w:ascii="Times New Roman"/>
          <w:bCs/>
          <w:szCs w:val="32"/>
        </w:rPr>
        <w:t>本项标准分值</w:t>
      </w:r>
      <w:r>
        <w:rPr>
          <w:rFonts w:hint="eastAsia" w:ascii="Times New Roman"/>
          <w:bCs/>
          <w:szCs w:val="32"/>
        </w:rPr>
        <w:t>1</w:t>
      </w:r>
      <w:r>
        <w:rPr>
          <w:rFonts w:ascii="Times New Roman"/>
          <w:bCs/>
          <w:szCs w:val="32"/>
        </w:rPr>
        <w:t>分，综合得分</w:t>
      </w:r>
      <w:r>
        <w:rPr>
          <w:rFonts w:hint="eastAsia" w:ascii="Times New Roman"/>
          <w:bCs/>
          <w:szCs w:val="32"/>
        </w:rPr>
        <w:t>1</w:t>
      </w:r>
      <w:r>
        <w:rPr>
          <w:rFonts w:ascii="Times New Roman"/>
          <w:bCs/>
          <w:szCs w:val="32"/>
        </w:rPr>
        <w:t>分。</w:t>
      </w:r>
    </w:p>
    <w:p w14:paraId="39963A31">
      <w:pPr>
        <w:pStyle w:val="5"/>
        <w:spacing w:line="560" w:lineRule="exact"/>
        <w:ind w:firstLine="633"/>
        <w:rPr>
          <w:rFonts w:ascii="Times New Roman" w:hAnsi="Times New Roman"/>
          <w:sz w:val="32"/>
          <w:szCs w:val="36"/>
        </w:rPr>
      </w:pPr>
      <w:r>
        <w:rPr>
          <w:rFonts w:ascii="Times New Roman" w:hAnsi="Times New Roman"/>
          <w:sz w:val="32"/>
          <w:szCs w:val="36"/>
        </w:rPr>
        <w:t>3、</w:t>
      </w:r>
      <w:r>
        <w:rPr>
          <w:rFonts w:hint="eastAsia" w:ascii="Times New Roman" w:hAnsi="Times New Roman"/>
          <w:sz w:val="32"/>
          <w:szCs w:val="36"/>
        </w:rPr>
        <w:t>履职效能指标完成情况详细分析</w:t>
      </w:r>
    </w:p>
    <w:p w14:paraId="5E41E784">
      <w:pPr>
        <w:spacing w:line="560" w:lineRule="exact"/>
        <w:ind w:firstLine="632" w:firstLineChars="200"/>
        <w:rPr>
          <w:rFonts w:ascii="Times New Roman"/>
          <w:szCs w:val="32"/>
        </w:rPr>
      </w:pPr>
      <w:r>
        <w:rPr>
          <w:rFonts w:hint="eastAsia" w:ascii="Times New Roman"/>
          <w:szCs w:val="36"/>
        </w:rPr>
        <w:t>履职效能</w:t>
      </w:r>
      <w:r>
        <w:rPr>
          <w:rFonts w:ascii="Times New Roman"/>
          <w:szCs w:val="32"/>
        </w:rPr>
        <w:t>指标总分值4</w:t>
      </w:r>
      <w:r>
        <w:rPr>
          <w:rFonts w:hint="eastAsia" w:ascii="Times New Roman"/>
          <w:szCs w:val="32"/>
        </w:rPr>
        <w:t>5</w:t>
      </w:r>
      <w:r>
        <w:rPr>
          <w:rFonts w:ascii="Times New Roman"/>
          <w:szCs w:val="32"/>
        </w:rPr>
        <w:t>分，实际得分</w:t>
      </w:r>
      <w:r>
        <w:rPr>
          <w:rFonts w:hint="eastAsia" w:ascii="Times New Roman"/>
          <w:szCs w:val="32"/>
        </w:rPr>
        <w:t>41.25</w:t>
      </w:r>
      <w:r>
        <w:rPr>
          <w:rFonts w:ascii="Times New Roman"/>
          <w:szCs w:val="32"/>
        </w:rPr>
        <w:t>分。各项指标具体完成情况如下：</w:t>
      </w:r>
    </w:p>
    <w:p w14:paraId="1E2898D3">
      <w:pPr>
        <w:spacing w:line="560" w:lineRule="exact"/>
        <w:ind w:firstLine="632" w:firstLineChars="200"/>
        <w:rPr>
          <w:rFonts w:ascii="Times New Roman"/>
          <w:szCs w:val="32"/>
        </w:rPr>
      </w:pPr>
      <w:r>
        <w:rPr>
          <w:rFonts w:ascii="Times New Roman"/>
          <w:szCs w:val="32"/>
        </w:rPr>
        <w:t>（1）</w:t>
      </w:r>
      <w:r>
        <w:rPr>
          <w:rFonts w:hint="eastAsia" w:ascii="Times New Roman"/>
          <w:szCs w:val="32"/>
        </w:rPr>
        <w:t>实际完成率</w:t>
      </w:r>
    </w:p>
    <w:p w14:paraId="5B5CDA2B">
      <w:pPr>
        <w:spacing w:line="560" w:lineRule="exact"/>
        <w:ind w:firstLine="632" w:firstLineChars="200"/>
        <w:rPr>
          <w:rFonts w:ascii="Times New Roman"/>
          <w:szCs w:val="32"/>
        </w:rPr>
      </w:pPr>
      <w:r>
        <w:rPr>
          <w:rFonts w:ascii="Times New Roman"/>
          <w:szCs w:val="32"/>
        </w:rPr>
        <w:t>根据工作任务目标，202</w:t>
      </w:r>
      <w:r>
        <w:rPr>
          <w:rFonts w:hint="eastAsia" w:ascii="Times New Roman"/>
          <w:szCs w:val="32"/>
        </w:rPr>
        <w:t>2</w:t>
      </w:r>
      <w:r>
        <w:rPr>
          <w:rFonts w:ascii="Times New Roman"/>
          <w:szCs w:val="32"/>
        </w:rPr>
        <w:t>年</w:t>
      </w:r>
      <w:r>
        <w:rPr>
          <w:rFonts w:hint="eastAsia" w:ascii="Times New Roman"/>
          <w:szCs w:val="32"/>
        </w:rPr>
        <w:t>西塞山区残疾人联合会部门整体支出</w:t>
      </w:r>
      <w:r>
        <w:rPr>
          <w:rFonts w:ascii="Times New Roman"/>
          <w:szCs w:val="32"/>
        </w:rPr>
        <w:t>项目数量指标未全部完成，具体见下表：</w:t>
      </w:r>
    </w:p>
    <w:tbl>
      <w:tblPr>
        <w:tblStyle w:val="13"/>
        <w:tblW w:w="8985" w:type="dxa"/>
        <w:tblInd w:w="91" w:type="dxa"/>
        <w:tblLayout w:type="autofit"/>
        <w:tblCellMar>
          <w:top w:w="0" w:type="dxa"/>
          <w:left w:w="108" w:type="dxa"/>
          <w:bottom w:w="0" w:type="dxa"/>
          <w:right w:w="108" w:type="dxa"/>
        </w:tblCellMar>
      </w:tblPr>
      <w:tblGrid>
        <w:gridCol w:w="2275"/>
        <w:gridCol w:w="1136"/>
        <w:gridCol w:w="1329"/>
        <w:gridCol w:w="937"/>
        <w:gridCol w:w="837"/>
        <w:gridCol w:w="2471"/>
      </w:tblGrid>
      <w:tr w14:paraId="20F6AFE5">
        <w:tblPrEx>
          <w:tblCellMar>
            <w:top w:w="0" w:type="dxa"/>
            <w:left w:w="108" w:type="dxa"/>
            <w:bottom w:w="0" w:type="dxa"/>
            <w:right w:w="108" w:type="dxa"/>
          </w:tblCellMar>
        </w:tblPrEx>
        <w:trPr>
          <w:trHeight w:val="238" w:hRule="atLeast"/>
          <w:tblHeader/>
        </w:trPr>
        <w:tc>
          <w:tcPr>
            <w:tcW w:w="22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1FBA94">
            <w:pPr>
              <w:widowControl/>
              <w:spacing w:line="0" w:lineRule="atLeast"/>
              <w:jc w:val="center"/>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三级指标</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28459B">
            <w:pPr>
              <w:widowControl/>
              <w:spacing w:line="0" w:lineRule="atLeast"/>
              <w:jc w:val="center"/>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目标值</w:t>
            </w:r>
          </w:p>
        </w:tc>
        <w:tc>
          <w:tcPr>
            <w:tcW w:w="1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749FA6">
            <w:pPr>
              <w:widowControl/>
              <w:spacing w:line="0" w:lineRule="atLeast"/>
              <w:jc w:val="center"/>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完成情况</w:t>
            </w: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B224ED">
            <w:pPr>
              <w:widowControl/>
              <w:spacing w:line="0" w:lineRule="atLeast"/>
              <w:jc w:val="center"/>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完成率</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EFB186">
            <w:pPr>
              <w:widowControl/>
              <w:spacing w:line="0" w:lineRule="atLeast"/>
              <w:jc w:val="center"/>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得分</w:t>
            </w:r>
          </w:p>
        </w:tc>
        <w:tc>
          <w:tcPr>
            <w:tcW w:w="24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4B9B31">
            <w:pPr>
              <w:widowControl/>
              <w:spacing w:line="0" w:lineRule="atLeast"/>
              <w:jc w:val="center"/>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证据来源</w:t>
            </w:r>
          </w:p>
        </w:tc>
      </w:tr>
      <w:tr w14:paraId="26328BA3">
        <w:tblPrEx>
          <w:tblCellMar>
            <w:top w:w="0" w:type="dxa"/>
            <w:left w:w="108" w:type="dxa"/>
            <w:bottom w:w="0" w:type="dxa"/>
            <w:right w:w="108" w:type="dxa"/>
          </w:tblCellMar>
        </w:tblPrEx>
        <w:trPr>
          <w:trHeight w:val="480" w:hRule="atLeast"/>
        </w:trPr>
        <w:tc>
          <w:tcPr>
            <w:tcW w:w="22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1F5F21">
            <w:pPr>
              <w:widowControl/>
              <w:spacing w:line="0" w:lineRule="atLeast"/>
              <w:jc w:val="center"/>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困难精神病患者服药人数</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2F5974">
            <w:pPr>
              <w:widowControl/>
              <w:spacing w:line="0" w:lineRule="atLeast"/>
              <w:jc w:val="left"/>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600人</w:t>
            </w:r>
          </w:p>
        </w:tc>
        <w:tc>
          <w:tcPr>
            <w:tcW w:w="1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B5DADF">
            <w:pPr>
              <w:widowControl/>
              <w:spacing w:line="0" w:lineRule="atLeast"/>
              <w:jc w:val="left"/>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601人</w:t>
            </w: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857E09">
            <w:pPr>
              <w:widowControl/>
              <w:spacing w:line="0" w:lineRule="atLeast"/>
              <w:jc w:val="center"/>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100%</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51D1F0">
            <w:pPr>
              <w:widowControl/>
              <w:spacing w:line="0" w:lineRule="atLeast"/>
              <w:jc w:val="center"/>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 xml:space="preserve">2.50 </w:t>
            </w:r>
          </w:p>
        </w:tc>
        <w:tc>
          <w:tcPr>
            <w:tcW w:w="24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A50C16">
            <w:pPr>
              <w:widowControl/>
              <w:spacing w:line="0" w:lineRule="atLeast"/>
              <w:jc w:val="left"/>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市残联文件（黄残联发【2022】3号）、汇总表</w:t>
            </w:r>
          </w:p>
        </w:tc>
      </w:tr>
      <w:tr w14:paraId="2B37E199">
        <w:tblPrEx>
          <w:tblCellMar>
            <w:top w:w="0" w:type="dxa"/>
            <w:left w:w="108" w:type="dxa"/>
            <w:bottom w:w="0" w:type="dxa"/>
            <w:right w:w="108" w:type="dxa"/>
          </w:tblCellMar>
        </w:tblPrEx>
        <w:trPr>
          <w:trHeight w:val="720" w:hRule="atLeast"/>
        </w:trPr>
        <w:tc>
          <w:tcPr>
            <w:tcW w:w="22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2421EC">
            <w:pPr>
              <w:widowControl/>
              <w:spacing w:line="0" w:lineRule="atLeast"/>
              <w:jc w:val="center"/>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阳光家园计划一智力、精神和重度肢体残疾人托养服务补助人数</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B26E6E">
            <w:pPr>
              <w:widowControl/>
              <w:spacing w:line="0" w:lineRule="atLeast"/>
              <w:jc w:val="left"/>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90人</w:t>
            </w:r>
          </w:p>
        </w:tc>
        <w:tc>
          <w:tcPr>
            <w:tcW w:w="1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06191E">
            <w:pPr>
              <w:widowControl/>
              <w:spacing w:line="0" w:lineRule="atLeast"/>
              <w:jc w:val="left"/>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90人</w:t>
            </w: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1D3EED">
            <w:pPr>
              <w:widowControl/>
              <w:spacing w:line="0" w:lineRule="atLeast"/>
              <w:jc w:val="center"/>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100%</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BB44C2">
            <w:pPr>
              <w:widowControl/>
              <w:spacing w:line="0" w:lineRule="atLeast"/>
              <w:jc w:val="center"/>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 xml:space="preserve">2.50 </w:t>
            </w:r>
          </w:p>
        </w:tc>
        <w:tc>
          <w:tcPr>
            <w:tcW w:w="24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A805DA">
            <w:pPr>
              <w:widowControl/>
              <w:spacing w:line="0" w:lineRule="atLeast"/>
              <w:jc w:val="left"/>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市残联文件（黄残联发【2022】7号）、汇总表</w:t>
            </w:r>
          </w:p>
        </w:tc>
      </w:tr>
      <w:tr w14:paraId="7BB26F2E">
        <w:tblPrEx>
          <w:tblCellMar>
            <w:top w:w="0" w:type="dxa"/>
            <w:left w:w="108" w:type="dxa"/>
            <w:bottom w:w="0" w:type="dxa"/>
            <w:right w:w="108" w:type="dxa"/>
          </w:tblCellMar>
        </w:tblPrEx>
        <w:trPr>
          <w:trHeight w:val="720" w:hRule="atLeast"/>
        </w:trPr>
        <w:tc>
          <w:tcPr>
            <w:tcW w:w="22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377256">
            <w:pPr>
              <w:widowControl/>
              <w:spacing w:line="0" w:lineRule="atLeast"/>
              <w:jc w:val="center"/>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 xml:space="preserve"> 发放残疾人机动轮椅车燃油补贴金额</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7A65BD">
            <w:pPr>
              <w:widowControl/>
              <w:spacing w:line="0" w:lineRule="atLeast"/>
              <w:jc w:val="left"/>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1.3万元</w:t>
            </w:r>
          </w:p>
        </w:tc>
        <w:tc>
          <w:tcPr>
            <w:tcW w:w="1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AA6DF2">
            <w:pPr>
              <w:widowControl/>
              <w:spacing w:line="0" w:lineRule="atLeast"/>
              <w:jc w:val="left"/>
              <w:textAlignment w:val="center"/>
              <w:rPr>
                <w:rFonts w:ascii="仿宋" w:hAnsi="仿宋" w:eastAsia="仿宋" w:cs="仿宋"/>
                <w:color w:val="FF0000"/>
                <w:sz w:val="28"/>
                <w:szCs w:val="28"/>
              </w:rPr>
            </w:pPr>
            <w:r>
              <w:rPr>
                <w:rFonts w:hint="eastAsia" w:ascii="仿宋" w:hAnsi="仿宋" w:eastAsia="仿宋" w:cs="仿宋"/>
                <w:color w:val="FF0000"/>
                <w:kern w:val="0"/>
                <w:sz w:val="28"/>
                <w:szCs w:val="28"/>
                <w:lang w:bidi="ar"/>
              </w:rPr>
              <w:t>0.286万元</w:t>
            </w: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5715F0">
            <w:pPr>
              <w:widowControl/>
              <w:spacing w:line="0" w:lineRule="atLeast"/>
              <w:jc w:val="center"/>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2.20%</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40727C">
            <w:pPr>
              <w:widowControl/>
              <w:spacing w:line="0" w:lineRule="atLeast"/>
              <w:jc w:val="center"/>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 xml:space="preserve">0.00 </w:t>
            </w:r>
          </w:p>
        </w:tc>
        <w:tc>
          <w:tcPr>
            <w:tcW w:w="24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4527A3">
            <w:pPr>
              <w:widowControl/>
              <w:spacing w:line="0" w:lineRule="atLeast"/>
              <w:jc w:val="left"/>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市财政局文件（黄财社发【2022】45号）、发放名单等</w:t>
            </w:r>
          </w:p>
        </w:tc>
      </w:tr>
      <w:tr w14:paraId="46E730AC">
        <w:tblPrEx>
          <w:tblCellMar>
            <w:top w:w="0" w:type="dxa"/>
            <w:left w:w="108" w:type="dxa"/>
            <w:bottom w:w="0" w:type="dxa"/>
            <w:right w:w="108" w:type="dxa"/>
          </w:tblCellMar>
        </w:tblPrEx>
        <w:trPr>
          <w:trHeight w:val="720" w:hRule="atLeast"/>
        </w:trPr>
        <w:tc>
          <w:tcPr>
            <w:tcW w:w="22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9D26CF">
            <w:pPr>
              <w:widowControl/>
              <w:spacing w:line="0" w:lineRule="atLeast"/>
              <w:jc w:val="center"/>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贫困重度残疾人家庭无障碍改造户数</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6BF352">
            <w:pPr>
              <w:widowControl/>
              <w:spacing w:line="0" w:lineRule="atLeast"/>
              <w:jc w:val="left"/>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150人</w:t>
            </w:r>
          </w:p>
        </w:tc>
        <w:tc>
          <w:tcPr>
            <w:tcW w:w="1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C6C75A">
            <w:pPr>
              <w:widowControl/>
              <w:spacing w:line="0" w:lineRule="atLeast"/>
              <w:jc w:val="left"/>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156人</w:t>
            </w: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19642C">
            <w:pPr>
              <w:widowControl/>
              <w:spacing w:line="0" w:lineRule="atLeast"/>
              <w:jc w:val="center"/>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100%</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09B088">
            <w:pPr>
              <w:widowControl/>
              <w:spacing w:line="0" w:lineRule="atLeast"/>
              <w:jc w:val="center"/>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 xml:space="preserve">2.50 </w:t>
            </w:r>
          </w:p>
        </w:tc>
        <w:tc>
          <w:tcPr>
            <w:tcW w:w="24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C2E763">
            <w:pPr>
              <w:widowControl/>
              <w:spacing w:line="0" w:lineRule="atLeast"/>
              <w:jc w:val="left"/>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市残联文件（黄残联发【2022】5号）、项目相关资料</w:t>
            </w:r>
          </w:p>
        </w:tc>
      </w:tr>
      <w:tr w14:paraId="0F0257B9">
        <w:tblPrEx>
          <w:tblCellMar>
            <w:top w:w="0" w:type="dxa"/>
            <w:left w:w="108" w:type="dxa"/>
            <w:bottom w:w="0" w:type="dxa"/>
            <w:right w:w="108" w:type="dxa"/>
          </w:tblCellMar>
        </w:tblPrEx>
        <w:trPr>
          <w:trHeight w:val="480" w:hRule="atLeast"/>
        </w:trPr>
        <w:tc>
          <w:tcPr>
            <w:tcW w:w="22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5EB383">
            <w:pPr>
              <w:widowControl/>
              <w:spacing w:line="0" w:lineRule="atLeast"/>
              <w:jc w:val="center"/>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儿童康复救助人数</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B72727">
            <w:pPr>
              <w:widowControl/>
              <w:spacing w:line="0" w:lineRule="atLeast"/>
              <w:jc w:val="left"/>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80人</w:t>
            </w:r>
          </w:p>
        </w:tc>
        <w:tc>
          <w:tcPr>
            <w:tcW w:w="1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0EEC87">
            <w:pPr>
              <w:widowControl/>
              <w:spacing w:line="0" w:lineRule="atLeast"/>
              <w:jc w:val="left"/>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111人</w:t>
            </w: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D26A11">
            <w:pPr>
              <w:widowControl/>
              <w:spacing w:line="0" w:lineRule="atLeast"/>
              <w:jc w:val="center"/>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100%</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CCF7B9">
            <w:pPr>
              <w:widowControl/>
              <w:spacing w:line="0" w:lineRule="atLeast"/>
              <w:jc w:val="center"/>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 xml:space="preserve">2.50 </w:t>
            </w:r>
          </w:p>
        </w:tc>
        <w:tc>
          <w:tcPr>
            <w:tcW w:w="24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4F21E5">
            <w:pPr>
              <w:widowControl/>
              <w:spacing w:line="0" w:lineRule="atLeast"/>
              <w:jc w:val="left"/>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市残联文件（黄残联发【2022】1号）、明细表等</w:t>
            </w:r>
          </w:p>
        </w:tc>
      </w:tr>
      <w:tr w14:paraId="7BBFA6FD">
        <w:tblPrEx>
          <w:tblCellMar>
            <w:top w:w="0" w:type="dxa"/>
            <w:left w:w="108" w:type="dxa"/>
            <w:bottom w:w="0" w:type="dxa"/>
            <w:right w:w="108" w:type="dxa"/>
          </w:tblCellMar>
        </w:tblPrEx>
        <w:trPr>
          <w:trHeight w:val="720" w:hRule="atLeast"/>
        </w:trPr>
        <w:tc>
          <w:tcPr>
            <w:tcW w:w="22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9C51B0">
            <w:pPr>
              <w:widowControl/>
              <w:spacing w:line="0" w:lineRule="atLeast"/>
              <w:jc w:val="center"/>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残疾人文化进家庭“五个一”完成金额</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E28202">
            <w:pPr>
              <w:widowControl/>
              <w:spacing w:line="0" w:lineRule="atLeast"/>
              <w:jc w:val="left"/>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2万元</w:t>
            </w:r>
          </w:p>
        </w:tc>
        <w:tc>
          <w:tcPr>
            <w:tcW w:w="1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E094D2">
            <w:pPr>
              <w:widowControl/>
              <w:spacing w:line="0" w:lineRule="atLeast"/>
              <w:jc w:val="left"/>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28999.6元</w:t>
            </w: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29B6DE">
            <w:pPr>
              <w:widowControl/>
              <w:spacing w:line="0" w:lineRule="atLeast"/>
              <w:jc w:val="center"/>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100%</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7B414E">
            <w:pPr>
              <w:widowControl/>
              <w:spacing w:line="0" w:lineRule="atLeast"/>
              <w:jc w:val="center"/>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 xml:space="preserve">2.50 </w:t>
            </w:r>
          </w:p>
        </w:tc>
        <w:tc>
          <w:tcPr>
            <w:tcW w:w="24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703099">
            <w:pPr>
              <w:widowControl/>
              <w:spacing w:line="0" w:lineRule="atLeast"/>
              <w:jc w:val="left"/>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市财政局文件（黄财社发【2022】45号）、项目通知及名单</w:t>
            </w:r>
          </w:p>
        </w:tc>
      </w:tr>
      <w:tr w14:paraId="4EE57457">
        <w:tblPrEx>
          <w:tblCellMar>
            <w:top w:w="0" w:type="dxa"/>
            <w:left w:w="108" w:type="dxa"/>
            <w:bottom w:w="0" w:type="dxa"/>
            <w:right w:w="108" w:type="dxa"/>
          </w:tblCellMar>
        </w:tblPrEx>
        <w:trPr>
          <w:trHeight w:val="480" w:hRule="atLeast"/>
        </w:trPr>
        <w:tc>
          <w:tcPr>
            <w:tcW w:w="22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505D37">
            <w:pPr>
              <w:widowControl/>
              <w:spacing w:line="0" w:lineRule="atLeast"/>
              <w:jc w:val="center"/>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残疾人就业培训完成情况</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230A3A">
            <w:pPr>
              <w:widowControl/>
              <w:spacing w:line="0" w:lineRule="atLeast"/>
              <w:jc w:val="left"/>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80人</w:t>
            </w:r>
          </w:p>
        </w:tc>
        <w:tc>
          <w:tcPr>
            <w:tcW w:w="1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EB70B6">
            <w:pPr>
              <w:widowControl/>
              <w:spacing w:line="0" w:lineRule="atLeast"/>
              <w:jc w:val="left"/>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201人</w:t>
            </w: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D8391C">
            <w:pPr>
              <w:widowControl/>
              <w:spacing w:line="0" w:lineRule="atLeast"/>
              <w:jc w:val="center"/>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100%</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3785B4">
            <w:pPr>
              <w:widowControl/>
              <w:spacing w:line="0" w:lineRule="atLeast"/>
              <w:jc w:val="center"/>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 xml:space="preserve">2.50 </w:t>
            </w:r>
          </w:p>
        </w:tc>
        <w:tc>
          <w:tcPr>
            <w:tcW w:w="24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97893A">
            <w:pPr>
              <w:widowControl/>
              <w:spacing w:line="0" w:lineRule="atLeast"/>
              <w:jc w:val="left"/>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培训通知、报名表及网页图片等</w:t>
            </w:r>
          </w:p>
        </w:tc>
      </w:tr>
      <w:tr w14:paraId="386EDCF1">
        <w:tblPrEx>
          <w:tblCellMar>
            <w:top w:w="0" w:type="dxa"/>
            <w:left w:w="108" w:type="dxa"/>
            <w:bottom w:w="0" w:type="dxa"/>
            <w:right w:w="108" w:type="dxa"/>
          </w:tblCellMar>
        </w:tblPrEx>
        <w:trPr>
          <w:trHeight w:val="720" w:hRule="atLeast"/>
        </w:trPr>
        <w:tc>
          <w:tcPr>
            <w:tcW w:w="22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FE60CC">
            <w:pPr>
              <w:widowControl/>
              <w:spacing w:line="0" w:lineRule="atLeast"/>
              <w:jc w:val="center"/>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残疾人法治化建设宣传情况</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F857F2">
            <w:pPr>
              <w:widowControl/>
              <w:spacing w:line="0" w:lineRule="atLeast"/>
              <w:jc w:val="left"/>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开展相关政策宣传</w:t>
            </w:r>
          </w:p>
        </w:tc>
        <w:tc>
          <w:tcPr>
            <w:tcW w:w="1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12F08A">
            <w:pPr>
              <w:widowControl/>
              <w:spacing w:line="0" w:lineRule="atLeast"/>
              <w:jc w:val="left"/>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已开展并通过媒体报导</w:t>
            </w: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A6BC90">
            <w:pPr>
              <w:widowControl/>
              <w:spacing w:line="0" w:lineRule="atLeast"/>
              <w:jc w:val="center"/>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100%</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720A5F">
            <w:pPr>
              <w:widowControl/>
              <w:spacing w:line="0" w:lineRule="atLeast"/>
              <w:jc w:val="center"/>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 xml:space="preserve">2.50 </w:t>
            </w:r>
          </w:p>
        </w:tc>
        <w:tc>
          <w:tcPr>
            <w:tcW w:w="24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6EBDA1">
            <w:pPr>
              <w:widowControl/>
              <w:spacing w:line="0" w:lineRule="atLeast"/>
              <w:jc w:val="left"/>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媒体报导截图</w:t>
            </w:r>
          </w:p>
        </w:tc>
      </w:tr>
      <w:tr w14:paraId="29FD9B31">
        <w:tblPrEx>
          <w:tblCellMar>
            <w:top w:w="0" w:type="dxa"/>
            <w:left w:w="108" w:type="dxa"/>
            <w:bottom w:w="0" w:type="dxa"/>
            <w:right w:w="108" w:type="dxa"/>
          </w:tblCellMar>
        </w:tblPrEx>
        <w:trPr>
          <w:trHeight w:val="691" w:hRule="atLeast"/>
        </w:trPr>
        <w:tc>
          <w:tcPr>
            <w:tcW w:w="567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503B8CB">
            <w:pPr>
              <w:widowControl/>
              <w:spacing w:line="0" w:lineRule="atLeast"/>
              <w:jc w:val="center"/>
              <w:textAlignment w:val="center"/>
              <w:rPr>
                <w:rFonts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合计</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F256E0">
            <w:pPr>
              <w:widowControl/>
              <w:spacing w:line="0" w:lineRule="atLeast"/>
              <w:jc w:val="center"/>
              <w:textAlignment w:val="center"/>
              <w:rPr>
                <w:rFonts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17.5</w:t>
            </w:r>
          </w:p>
        </w:tc>
        <w:tc>
          <w:tcPr>
            <w:tcW w:w="24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72E630">
            <w:pPr>
              <w:widowControl/>
              <w:spacing w:line="0" w:lineRule="atLeast"/>
              <w:jc w:val="left"/>
              <w:textAlignment w:val="center"/>
              <w:rPr>
                <w:rFonts w:ascii="仿宋" w:hAnsi="仿宋" w:eastAsia="仿宋" w:cs="仿宋"/>
                <w:color w:val="000000"/>
                <w:kern w:val="0"/>
                <w:sz w:val="28"/>
                <w:szCs w:val="28"/>
                <w:lang w:bidi="ar"/>
              </w:rPr>
            </w:pPr>
          </w:p>
        </w:tc>
      </w:tr>
    </w:tbl>
    <w:p w14:paraId="3C90B5A5">
      <w:pPr>
        <w:spacing w:line="560" w:lineRule="exact"/>
        <w:ind w:firstLine="632" w:firstLineChars="200"/>
        <w:rPr>
          <w:rFonts w:ascii="Times New Roman"/>
        </w:rPr>
      </w:pPr>
      <w:r>
        <w:rPr>
          <w:rFonts w:ascii="Times New Roman"/>
          <w:szCs w:val="32"/>
        </w:rPr>
        <w:t>本项标准分值20分，综合得分</w:t>
      </w:r>
      <w:r>
        <w:rPr>
          <w:rFonts w:hint="eastAsia" w:ascii="Times New Roman"/>
          <w:szCs w:val="32"/>
        </w:rPr>
        <w:t>17.5</w:t>
      </w:r>
      <w:r>
        <w:rPr>
          <w:rFonts w:ascii="Times New Roman"/>
          <w:szCs w:val="32"/>
        </w:rPr>
        <w:t>分。</w:t>
      </w:r>
    </w:p>
    <w:p w14:paraId="2CB28F23">
      <w:pPr>
        <w:pStyle w:val="6"/>
        <w:spacing w:line="560" w:lineRule="exact"/>
        <w:ind w:firstLine="632" w:firstLineChars="200"/>
        <w:rPr>
          <w:rFonts w:ascii="Times New Roman"/>
          <w:szCs w:val="32"/>
        </w:rPr>
      </w:pPr>
      <w:r>
        <w:rPr>
          <w:rFonts w:ascii="Times New Roman"/>
          <w:szCs w:val="32"/>
        </w:rPr>
        <w:t>（2）质量</w:t>
      </w:r>
      <w:r>
        <w:rPr>
          <w:rFonts w:hint="eastAsia" w:ascii="Times New Roman"/>
          <w:szCs w:val="32"/>
        </w:rPr>
        <w:t>达标率</w:t>
      </w:r>
    </w:p>
    <w:p w14:paraId="253ABCFA">
      <w:pPr>
        <w:spacing w:line="560" w:lineRule="exact"/>
        <w:ind w:firstLine="632" w:firstLineChars="200"/>
        <w:rPr>
          <w:rFonts w:ascii="Times New Roman"/>
          <w:szCs w:val="32"/>
        </w:rPr>
      </w:pPr>
      <w:r>
        <w:rPr>
          <w:rFonts w:ascii="Times New Roman"/>
          <w:szCs w:val="32"/>
        </w:rPr>
        <w:t>根据工作</w:t>
      </w:r>
      <w:r>
        <w:rPr>
          <w:rFonts w:hint="eastAsia" w:ascii="Times New Roman"/>
          <w:szCs w:val="32"/>
        </w:rPr>
        <w:t>质量</w:t>
      </w:r>
      <w:r>
        <w:rPr>
          <w:rFonts w:ascii="Times New Roman"/>
          <w:szCs w:val="32"/>
        </w:rPr>
        <w:t>目标，202</w:t>
      </w:r>
      <w:r>
        <w:rPr>
          <w:rFonts w:hint="eastAsia" w:ascii="Times New Roman"/>
          <w:szCs w:val="32"/>
        </w:rPr>
        <w:t>2</w:t>
      </w:r>
      <w:r>
        <w:rPr>
          <w:rFonts w:ascii="Times New Roman"/>
          <w:szCs w:val="32"/>
        </w:rPr>
        <w:t>年</w:t>
      </w:r>
      <w:r>
        <w:rPr>
          <w:rFonts w:hint="eastAsia" w:ascii="Times New Roman"/>
          <w:szCs w:val="32"/>
        </w:rPr>
        <w:t>西塞山区残疾人联合会部门整体支出</w:t>
      </w:r>
      <w:r>
        <w:rPr>
          <w:rFonts w:ascii="Times New Roman"/>
          <w:szCs w:val="32"/>
        </w:rPr>
        <w:t>项目</w:t>
      </w:r>
      <w:r>
        <w:rPr>
          <w:rFonts w:hint="eastAsia" w:ascii="Times New Roman"/>
          <w:szCs w:val="32"/>
        </w:rPr>
        <w:t>质量</w:t>
      </w:r>
      <w:r>
        <w:rPr>
          <w:rFonts w:ascii="Times New Roman"/>
          <w:szCs w:val="32"/>
        </w:rPr>
        <w:t>指标全部完成，具体见下表：</w:t>
      </w:r>
    </w:p>
    <w:tbl>
      <w:tblPr>
        <w:tblStyle w:val="13"/>
        <w:tblW w:w="5000" w:type="pct"/>
        <w:tblInd w:w="0" w:type="dxa"/>
        <w:tblLayout w:type="autofit"/>
        <w:tblCellMar>
          <w:top w:w="0" w:type="dxa"/>
          <w:left w:w="108" w:type="dxa"/>
          <w:bottom w:w="0" w:type="dxa"/>
          <w:right w:w="108" w:type="dxa"/>
        </w:tblCellMar>
      </w:tblPr>
      <w:tblGrid>
        <w:gridCol w:w="2289"/>
        <w:gridCol w:w="1745"/>
        <w:gridCol w:w="1114"/>
        <w:gridCol w:w="1114"/>
        <w:gridCol w:w="924"/>
        <w:gridCol w:w="1874"/>
      </w:tblGrid>
      <w:tr w14:paraId="0D965BDE">
        <w:tblPrEx>
          <w:tblCellMar>
            <w:top w:w="0" w:type="dxa"/>
            <w:left w:w="108" w:type="dxa"/>
            <w:bottom w:w="0" w:type="dxa"/>
            <w:right w:w="108" w:type="dxa"/>
          </w:tblCellMar>
        </w:tblPrEx>
        <w:trPr>
          <w:trHeight w:val="482" w:hRule="atLeast"/>
          <w:tblHeader/>
        </w:trPr>
        <w:tc>
          <w:tcPr>
            <w:tcW w:w="12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E4127D">
            <w:pPr>
              <w:widowControl/>
              <w:spacing w:line="0" w:lineRule="atLeast"/>
              <w:jc w:val="center"/>
              <w:textAlignment w:val="center"/>
              <w:rPr>
                <w:rFonts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三级指标</w:t>
            </w:r>
          </w:p>
        </w:tc>
        <w:tc>
          <w:tcPr>
            <w:tcW w:w="9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5C25E5">
            <w:pPr>
              <w:widowControl/>
              <w:spacing w:line="0" w:lineRule="atLeast"/>
              <w:jc w:val="center"/>
              <w:textAlignment w:val="center"/>
              <w:rPr>
                <w:rFonts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目标值</w:t>
            </w:r>
          </w:p>
        </w:tc>
        <w:tc>
          <w:tcPr>
            <w:tcW w:w="6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783085">
            <w:pPr>
              <w:widowControl/>
              <w:spacing w:line="0" w:lineRule="atLeast"/>
              <w:jc w:val="center"/>
              <w:textAlignment w:val="center"/>
              <w:rPr>
                <w:rFonts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完成情况</w:t>
            </w:r>
          </w:p>
        </w:tc>
        <w:tc>
          <w:tcPr>
            <w:tcW w:w="6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A5AEC5">
            <w:pPr>
              <w:widowControl/>
              <w:spacing w:line="0" w:lineRule="atLeast"/>
              <w:jc w:val="center"/>
              <w:textAlignment w:val="center"/>
              <w:rPr>
                <w:rFonts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完成率</w:t>
            </w:r>
          </w:p>
        </w:tc>
        <w:tc>
          <w:tcPr>
            <w:tcW w:w="5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7F7B99">
            <w:pPr>
              <w:widowControl/>
              <w:spacing w:line="0" w:lineRule="atLeast"/>
              <w:jc w:val="center"/>
              <w:textAlignment w:val="center"/>
              <w:rPr>
                <w:rFonts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得分</w:t>
            </w:r>
          </w:p>
        </w:tc>
        <w:tc>
          <w:tcPr>
            <w:tcW w:w="10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8807C7">
            <w:pPr>
              <w:widowControl/>
              <w:spacing w:line="0" w:lineRule="atLeast"/>
              <w:jc w:val="center"/>
              <w:textAlignment w:val="center"/>
              <w:rPr>
                <w:rFonts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证据来源</w:t>
            </w:r>
          </w:p>
        </w:tc>
      </w:tr>
      <w:tr w14:paraId="1A990BDE">
        <w:tblPrEx>
          <w:tblCellMar>
            <w:top w:w="0" w:type="dxa"/>
            <w:left w:w="108" w:type="dxa"/>
            <w:bottom w:w="0" w:type="dxa"/>
            <w:right w:w="108" w:type="dxa"/>
          </w:tblCellMar>
        </w:tblPrEx>
        <w:trPr>
          <w:trHeight w:val="480" w:hRule="atLeast"/>
        </w:trPr>
        <w:tc>
          <w:tcPr>
            <w:tcW w:w="12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F6BC7B">
            <w:pPr>
              <w:widowControl/>
              <w:spacing w:line="0" w:lineRule="atLeast"/>
              <w:jc w:val="center"/>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阳光家园计划服务标准执行达标率</w:t>
            </w:r>
          </w:p>
        </w:tc>
        <w:tc>
          <w:tcPr>
            <w:tcW w:w="9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8DD17B">
            <w:pPr>
              <w:widowControl/>
              <w:spacing w:line="0" w:lineRule="atLeast"/>
              <w:jc w:val="left"/>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75小时/户，3小时/次（30元/小时）</w:t>
            </w:r>
          </w:p>
        </w:tc>
        <w:tc>
          <w:tcPr>
            <w:tcW w:w="6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3F2B7D">
            <w:pPr>
              <w:widowControl/>
              <w:spacing w:line="0" w:lineRule="atLeast"/>
              <w:jc w:val="left"/>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29.9元/小时</w:t>
            </w:r>
          </w:p>
        </w:tc>
        <w:tc>
          <w:tcPr>
            <w:tcW w:w="6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15F834">
            <w:pPr>
              <w:widowControl/>
              <w:spacing w:line="0" w:lineRule="atLeast"/>
              <w:jc w:val="center"/>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99.67%</w:t>
            </w:r>
          </w:p>
        </w:tc>
        <w:tc>
          <w:tcPr>
            <w:tcW w:w="5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5A7D1C">
            <w:pPr>
              <w:widowControl/>
              <w:spacing w:line="0" w:lineRule="atLeast"/>
              <w:jc w:val="center"/>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 xml:space="preserve">2.50 </w:t>
            </w:r>
          </w:p>
        </w:tc>
        <w:tc>
          <w:tcPr>
            <w:tcW w:w="10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673BD5">
            <w:pPr>
              <w:widowControl/>
              <w:spacing w:line="0" w:lineRule="atLeast"/>
              <w:jc w:val="left"/>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通知文件、汇总表、服务卡、调查反馈表等</w:t>
            </w:r>
          </w:p>
        </w:tc>
      </w:tr>
      <w:tr w14:paraId="6B396880">
        <w:tblPrEx>
          <w:tblCellMar>
            <w:top w:w="0" w:type="dxa"/>
            <w:left w:w="108" w:type="dxa"/>
            <w:bottom w:w="0" w:type="dxa"/>
            <w:right w:w="108" w:type="dxa"/>
          </w:tblCellMar>
        </w:tblPrEx>
        <w:trPr>
          <w:trHeight w:val="480" w:hRule="atLeast"/>
        </w:trPr>
        <w:tc>
          <w:tcPr>
            <w:tcW w:w="12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34D777">
            <w:pPr>
              <w:widowControl/>
              <w:spacing w:line="0" w:lineRule="atLeast"/>
              <w:jc w:val="center"/>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贫困重度残疾人家庭无障碍改造标准执行率</w:t>
            </w:r>
          </w:p>
        </w:tc>
        <w:tc>
          <w:tcPr>
            <w:tcW w:w="9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BC00FD">
            <w:pPr>
              <w:widowControl/>
              <w:spacing w:line="0" w:lineRule="atLeast"/>
              <w:jc w:val="left"/>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3500元/户</w:t>
            </w:r>
          </w:p>
        </w:tc>
        <w:tc>
          <w:tcPr>
            <w:tcW w:w="6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F2FFA6">
            <w:pPr>
              <w:widowControl/>
              <w:spacing w:line="0" w:lineRule="atLeast"/>
              <w:jc w:val="left"/>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4790元/户</w:t>
            </w:r>
          </w:p>
        </w:tc>
        <w:tc>
          <w:tcPr>
            <w:tcW w:w="6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8197F5">
            <w:pPr>
              <w:widowControl/>
              <w:spacing w:line="0" w:lineRule="atLeast"/>
              <w:jc w:val="center"/>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100%</w:t>
            </w:r>
          </w:p>
        </w:tc>
        <w:tc>
          <w:tcPr>
            <w:tcW w:w="5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0C420B">
            <w:pPr>
              <w:widowControl/>
              <w:spacing w:line="0" w:lineRule="atLeast"/>
              <w:jc w:val="center"/>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 xml:space="preserve">2.50 </w:t>
            </w:r>
          </w:p>
        </w:tc>
        <w:tc>
          <w:tcPr>
            <w:tcW w:w="10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A5EDB4">
            <w:pPr>
              <w:widowControl/>
              <w:spacing w:line="0" w:lineRule="atLeast"/>
              <w:jc w:val="left"/>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任务通知、项目相关资料</w:t>
            </w:r>
          </w:p>
        </w:tc>
      </w:tr>
      <w:tr w14:paraId="58E82ECC">
        <w:tblPrEx>
          <w:tblCellMar>
            <w:top w:w="0" w:type="dxa"/>
            <w:left w:w="108" w:type="dxa"/>
            <w:bottom w:w="0" w:type="dxa"/>
            <w:right w:w="108" w:type="dxa"/>
          </w:tblCellMar>
        </w:tblPrEx>
        <w:trPr>
          <w:trHeight w:val="480" w:hRule="atLeast"/>
        </w:trPr>
        <w:tc>
          <w:tcPr>
            <w:tcW w:w="12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90886C">
            <w:pPr>
              <w:widowControl/>
              <w:spacing w:line="0" w:lineRule="atLeast"/>
              <w:jc w:val="center"/>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儿童康复训练经费标准执行达标率</w:t>
            </w:r>
          </w:p>
        </w:tc>
        <w:tc>
          <w:tcPr>
            <w:tcW w:w="9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67360D">
            <w:pPr>
              <w:widowControl/>
              <w:spacing w:line="0" w:lineRule="atLeast"/>
              <w:jc w:val="left"/>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0-6岁1.6万元/人；7岁以上1万元/人</w:t>
            </w:r>
          </w:p>
        </w:tc>
        <w:tc>
          <w:tcPr>
            <w:tcW w:w="6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4FC026">
            <w:pPr>
              <w:widowControl/>
              <w:spacing w:line="0" w:lineRule="atLeast"/>
              <w:jc w:val="left"/>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按标准执行</w:t>
            </w:r>
          </w:p>
        </w:tc>
        <w:tc>
          <w:tcPr>
            <w:tcW w:w="6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55D412">
            <w:pPr>
              <w:widowControl/>
              <w:spacing w:line="0" w:lineRule="atLeast"/>
              <w:jc w:val="center"/>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100%</w:t>
            </w:r>
          </w:p>
        </w:tc>
        <w:tc>
          <w:tcPr>
            <w:tcW w:w="5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D2CF86">
            <w:pPr>
              <w:widowControl/>
              <w:spacing w:line="0" w:lineRule="atLeast"/>
              <w:jc w:val="center"/>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 xml:space="preserve">2.50 </w:t>
            </w:r>
          </w:p>
        </w:tc>
        <w:tc>
          <w:tcPr>
            <w:tcW w:w="10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4C70E6">
            <w:pPr>
              <w:widowControl/>
              <w:spacing w:line="0" w:lineRule="atLeast"/>
              <w:jc w:val="left"/>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完成指标、明细汇总</w:t>
            </w:r>
          </w:p>
        </w:tc>
      </w:tr>
      <w:tr w14:paraId="2AC77E4B">
        <w:tblPrEx>
          <w:tblCellMar>
            <w:top w:w="0" w:type="dxa"/>
            <w:left w:w="108" w:type="dxa"/>
            <w:bottom w:w="0" w:type="dxa"/>
            <w:right w:w="108" w:type="dxa"/>
          </w:tblCellMar>
        </w:tblPrEx>
        <w:trPr>
          <w:trHeight w:val="480" w:hRule="atLeast"/>
        </w:trPr>
        <w:tc>
          <w:tcPr>
            <w:tcW w:w="12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C29B06">
            <w:pPr>
              <w:widowControl/>
              <w:spacing w:line="0" w:lineRule="atLeast"/>
              <w:jc w:val="center"/>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困难精神病患者服药救助标准执行达标率</w:t>
            </w:r>
          </w:p>
        </w:tc>
        <w:tc>
          <w:tcPr>
            <w:tcW w:w="9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E1F481">
            <w:pPr>
              <w:widowControl/>
              <w:spacing w:line="0" w:lineRule="atLeast"/>
              <w:jc w:val="left"/>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500元/人/年</w:t>
            </w:r>
          </w:p>
        </w:tc>
        <w:tc>
          <w:tcPr>
            <w:tcW w:w="6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326562">
            <w:pPr>
              <w:widowControl/>
              <w:spacing w:line="0" w:lineRule="atLeast"/>
              <w:jc w:val="left"/>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按标准执行</w:t>
            </w:r>
          </w:p>
        </w:tc>
        <w:tc>
          <w:tcPr>
            <w:tcW w:w="6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997793">
            <w:pPr>
              <w:widowControl/>
              <w:spacing w:line="0" w:lineRule="atLeast"/>
              <w:jc w:val="center"/>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100%</w:t>
            </w:r>
          </w:p>
        </w:tc>
        <w:tc>
          <w:tcPr>
            <w:tcW w:w="5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679DB9">
            <w:pPr>
              <w:widowControl/>
              <w:spacing w:line="0" w:lineRule="atLeast"/>
              <w:jc w:val="center"/>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 xml:space="preserve">2.50 </w:t>
            </w:r>
          </w:p>
        </w:tc>
        <w:tc>
          <w:tcPr>
            <w:tcW w:w="10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8CF184">
            <w:pPr>
              <w:widowControl/>
              <w:spacing w:line="0" w:lineRule="atLeast"/>
              <w:jc w:val="left"/>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通知文件、汇总表</w:t>
            </w:r>
          </w:p>
        </w:tc>
      </w:tr>
      <w:tr w14:paraId="0DAAC61E">
        <w:tblPrEx>
          <w:tblCellMar>
            <w:top w:w="0" w:type="dxa"/>
            <w:left w:w="108" w:type="dxa"/>
            <w:bottom w:w="0" w:type="dxa"/>
            <w:right w:w="108" w:type="dxa"/>
          </w:tblCellMar>
        </w:tblPrEx>
        <w:trPr>
          <w:trHeight w:val="480" w:hRule="atLeast"/>
        </w:trPr>
        <w:tc>
          <w:tcPr>
            <w:tcW w:w="12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630158">
            <w:pPr>
              <w:widowControl/>
              <w:spacing w:line="0" w:lineRule="atLeast"/>
              <w:jc w:val="center"/>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残疾人文化进家庭“五个一”标准执行达标率</w:t>
            </w:r>
          </w:p>
        </w:tc>
        <w:tc>
          <w:tcPr>
            <w:tcW w:w="9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AC9799">
            <w:pPr>
              <w:widowControl/>
              <w:spacing w:line="0" w:lineRule="atLeast"/>
              <w:jc w:val="left"/>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500元/户</w:t>
            </w:r>
          </w:p>
        </w:tc>
        <w:tc>
          <w:tcPr>
            <w:tcW w:w="6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F9FCEF">
            <w:pPr>
              <w:widowControl/>
              <w:spacing w:line="0" w:lineRule="atLeast"/>
              <w:jc w:val="left"/>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按标准执行</w:t>
            </w:r>
          </w:p>
        </w:tc>
        <w:tc>
          <w:tcPr>
            <w:tcW w:w="6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C48470">
            <w:pPr>
              <w:widowControl/>
              <w:spacing w:line="0" w:lineRule="atLeast"/>
              <w:jc w:val="center"/>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100%</w:t>
            </w:r>
          </w:p>
        </w:tc>
        <w:tc>
          <w:tcPr>
            <w:tcW w:w="5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9742FD">
            <w:pPr>
              <w:widowControl/>
              <w:spacing w:line="0" w:lineRule="atLeast"/>
              <w:jc w:val="center"/>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 xml:space="preserve">2.50 </w:t>
            </w:r>
          </w:p>
        </w:tc>
        <w:tc>
          <w:tcPr>
            <w:tcW w:w="10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3B8856">
            <w:pPr>
              <w:widowControl/>
              <w:spacing w:line="0" w:lineRule="atLeast"/>
              <w:jc w:val="left"/>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项目通知及名单</w:t>
            </w:r>
          </w:p>
        </w:tc>
      </w:tr>
      <w:tr w14:paraId="4434B3EF">
        <w:tblPrEx>
          <w:tblCellMar>
            <w:top w:w="0" w:type="dxa"/>
            <w:left w:w="108" w:type="dxa"/>
            <w:bottom w:w="0" w:type="dxa"/>
            <w:right w:w="108" w:type="dxa"/>
          </w:tblCellMar>
        </w:tblPrEx>
        <w:trPr>
          <w:trHeight w:val="480" w:hRule="atLeast"/>
        </w:trPr>
        <w:tc>
          <w:tcPr>
            <w:tcW w:w="12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D79AAC">
            <w:pPr>
              <w:widowControl/>
              <w:spacing w:line="0" w:lineRule="atLeast"/>
              <w:jc w:val="center"/>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残疾人机动轮椅车燃油补贴年均补助标准</w:t>
            </w:r>
          </w:p>
        </w:tc>
        <w:tc>
          <w:tcPr>
            <w:tcW w:w="9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C93B14">
            <w:pPr>
              <w:widowControl/>
              <w:spacing w:line="0" w:lineRule="atLeast"/>
              <w:jc w:val="left"/>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260元/人</w:t>
            </w:r>
          </w:p>
        </w:tc>
        <w:tc>
          <w:tcPr>
            <w:tcW w:w="6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7B255F">
            <w:pPr>
              <w:widowControl/>
              <w:spacing w:line="0" w:lineRule="atLeast"/>
              <w:jc w:val="left"/>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按标准执行</w:t>
            </w:r>
          </w:p>
        </w:tc>
        <w:tc>
          <w:tcPr>
            <w:tcW w:w="6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2BD969">
            <w:pPr>
              <w:widowControl/>
              <w:spacing w:line="0" w:lineRule="atLeast"/>
              <w:jc w:val="center"/>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100%</w:t>
            </w:r>
          </w:p>
        </w:tc>
        <w:tc>
          <w:tcPr>
            <w:tcW w:w="5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319B1A">
            <w:pPr>
              <w:widowControl/>
              <w:spacing w:line="0" w:lineRule="atLeast"/>
              <w:jc w:val="center"/>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 xml:space="preserve">2.50 </w:t>
            </w:r>
          </w:p>
        </w:tc>
        <w:tc>
          <w:tcPr>
            <w:tcW w:w="10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766F4A">
            <w:pPr>
              <w:widowControl/>
              <w:spacing w:line="0" w:lineRule="atLeast"/>
              <w:jc w:val="left"/>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市财政局文件、发放名单</w:t>
            </w:r>
          </w:p>
        </w:tc>
      </w:tr>
      <w:tr w14:paraId="495405F8">
        <w:tblPrEx>
          <w:tblCellMar>
            <w:top w:w="0" w:type="dxa"/>
            <w:left w:w="108" w:type="dxa"/>
            <w:bottom w:w="0" w:type="dxa"/>
            <w:right w:w="108" w:type="dxa"/>
          </w:tblCellMar>
        </w:tblPrEx>
        <w:trPr>
          <w:trHeight w:val="480" w:hRule="atLeast"/>
        </w:trPr>
        <w:tc>
          <w:tcPr>
            <w:tcW w:w="12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F105FE">
            <w:pPr>
              <w:widowControl/>
              <w:spacing w:line="0" w:lineRule="atLeast"/>
              <w:jc w:val="center"/>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无障碍改造服务验收合格率</w:t>
            </w:r>
          </w:p>
        </w:tc>
        <w:tc>
          <w:tcPr>
            <w:tcW w:w="9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B8862B">
            <w:pPr>
              <w:widowControl/>
              <w:spacing w:line="0" w:lineRule="atLeast"/>
              <w:jc w:val="left"/>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验收合格</w:t>
            </w:r>
          </w:p>
        </w:tc>
        <w:tc>
          <w:tcPr>
            <w:tcW w:w="6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B68862">
            <w:pPr>
              <w:widowControl/>
              <w:spacing w:line="0" w:lineRule="atLeast"/>
              <w:jc w:val="left"/>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验收合格</w:t>
            </w:r>
          </w:p>
        </w:tc>
        <w:tc>
          <w:tcPr>
            <w:tcW w:w="6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2352B8">
            <w:pPr>
              <w:widowControl/>
              <w:spacing w:line="0" w:lineRule="atLeast"/>
              <w:jc w:val="center"/>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100%</w:t>
            </w:r>
          </w:p>
        </w:tc>
        <w:tc>
          <w:tcPr>
            <w:tcW w:w="5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41CA3D">
            <w:pPr>
              <w:widowControl/>
              <w:spacing w:line="0" w:lineRule="atLeast"/>
              <w:jc w:val="center"/>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 xml:space="preserve">2.50 </w:t>
            </w:r>
          </w:p>
        </w:tc>
        <w:tc>
          <w:tcPr>
            <w:tcW w:w="10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636D02">
            <w:pPr>
              <w:widowControl/>
              <w:spacing w:line="0" w:lineRule="atLeast"/>
              <w:jc w:val="left"/>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项目验收相关资料</w:t>
            </w:r>
          </w:p>
        </w:tc>
      </w:tr>
      <w:tr w14:paraId="130F315E">
        <w:tblPrEx>
          <w:tblCellMar>
            <w:top w:w="0" w:type="dxa"/>
            <w:left w:w="108" w:type="dxa"/>
            <w:bottom w:w="0" w:type="dxa"/>
            <w:right w:w="108" w:type="dxa"/>
          </w:tblCellMar>
        </w:tblPrEx>
        <w:trPr>
          <w:trHeight w:val="833" w:hRule="atLeast"/>
        </w:trPr>
        <w:tc>
          <w:tcPr>
            <w:tcW w:w="3455"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889C4B6">
            <w:pPr>
              <w:widowControl/>
              <w:spacing w:line="0" w:lineRule="atLeast"/>
              <w:jc w:val="center"/>
              <w:textAlignment w:val="center"/>
              <w:rPr>
                <w:rFonts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合计</w:t>
            </w:r>
          </w:p>
        </w:tc>
        <w:tc>
          <w:tcPr>
            <w:tcW w:w="5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5A5D72">
            <w:pPr>
              <w:widowControl/>
              <w:spacing w:line="0" w:lineRule="atLeast"/>
              <w:jc w:val="center"/>
              <w:textAlignment w:val="center"/>
              <w:rPr>
                <w:rFonts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17.5</w:t>
            </w:r>
          </w:p>
        </w:tc>
        <w:tc>
          <w:tcPr>
            <w:tcW w:w="10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3210CE">
            <w:pPr>
              <w:widowControl/>
              <w:spacing w:line="0" w:lineRule="atLeast"/>
              <w:jc w:val="left"/>
              <w:textAlignment w:val="center"/>
              <w:rPr>
                <w:rFonts w:ascii="仿宋" w:hAnsi="仿宋" w:eastAsia="仿宋" w:cs="仿宋"/>
                <w:color w:val="000000"/>
                <w:kern w:val="0"/>
                <w:sz w:val="28"/>
                <w:szCs w:val="28"/>
                <w:lang w:bidi="ar"/>
              </w:rPr>
            </w:pPr>
          </w:p>
        </w:tc>
      </w:tr>
    </w:tbl>
    <w:p w14:paraId="4EA9612F">
      <w:pPr>
        <w:spacing w:line="560" w:lineRule="exact"/>
        <w:ind w:firstLine="632" w:firstLineChars="200"/>
        <w:rPr>
          <w:rFonts w:ascii="Times New Roman"/>
          <w:szCs w:val="32"/>
        </w:rPr>
      </w:pPr>
      <w:r>
        <w:rPr>
          <w:rFonts w:ascii="Times New Roman"/>
          <w:szCs w:val="32"/>
        </w:rPr>
        <w:t>本项标准分值1</w:t>
      </w:r>
      <w:r>
        <w:rPr>
          <w:rFonts w:hint="eastAsia" w:ascii="Times New Roman"/>
          <w:szCs w:val="32"/>
        </w:rPr>
        <w:t>7.5</w:t>
      </w:r>
      <w:r>
        <w:rPr>
          <w:rFonts w:ascii="Times New Roman"/>
          <w:szCs w:val="32"/>
        </w:rPr>
        <w:t>分，综合得分1</w:t>
      </w:r>
      <w:r>
        <w:rPr>
          <w:rFonts w:hint="eastAsia" w:ascii="Times New Roman"/>
          <w:szCs w:val="32"/>
        </w:rPr>
        <w:t>7.5</w:t>
      </w:r>
      <w:r>
        <w:rPr>
          <w:rFonts w:ascii="Times New Roman"/>
          <w:szCs w:val="32"/>
        </w:rPr>
        <w:t>分。</w:t>
      </w:r>
    </w:p>
    <w:p w14:paraId="3DCC11E5">
      <w:pPr>
        <w:pStyle w:val="6"/>
        <w:spacing w:line="560" w:lineRule="exact"/>
        <w:ind w:firstLine="632" w:firstLineChars="200"/>
        <w:rPr>
          <w:rFonts w:ascii="Times New Roman"/>
          <w:szCs w:val="32"/>
        </w:rPr>
      </w:pPr>
      <w:r>
        <w:rPr>
          <w:rFonts w:ascii="Times New Roman"/>
          <w:szCs w:val="32"/>
        </w:rPr>
        <w:t>（3）</w:t>
      </w:r>
      <w:r>
        <w:rPr>
          <w:rFonts w:hint="eastAsia" w:ascii="Times New Roman"/>
          <w:szCs w:val="32"/>
        </w:rPr>
        <w:t>完成及时率</w:t>
      </w:r>
    </w:p>
    <w:p w14:paraId="2E583DF7">
      <w:pPr>
        <w:spacing w:line="560" w:lineRule="exact"/>
        <w:ind w:firstLine="632" w:firstLineChars="200"/>
        <w:rPr>
          <w:rFonts w:ascii="Times New Roman"/>
          <w:szCs w:val="32"/>
        </w:rPr>
      </w:pPr>
      <w:r>
        <w:rPr>
          <w:rFonts w:ascii="Times New Roman"/>
          <w:szCs w:val="32"/>
        </w:rPr>
        <w:t>根据工作</w:t>
      </w:r>
      <w:r>
        <w:rPr>
          <w:rFonts w:hint="eastAsia" w:ascii="Times New Roman"/>
          <w:szCs w:val="32"/>
        </w:rPr>
        <w:t>时效</w:t>
      </w:r>
      <w:r>
        <w:rPr>
          <w:rFonts w:ascii="Times New Roman"/>
          <w:szCs w:val="32"/>
        </w:rPr>
        <w:t>目标，202</w:t>
      </w:r>
      <w:r>
        <w:rPr>
          <w:rFonts w:hint="eastAsia" w:ascii="Times New Roman"/>
          <w:szCs w:val="32"/>
        </w:rPr>
        <w:t>2</w:t>
      </w:r>
      <w:r>
        <w:rPr>
          <w:rFonts w:ascii="Times New Roman"/>
          <w:szCs w:val="32"/>
        </w:rPr>
        <w:t>年</w:t>
      </w:r>
      <w:r>
        <w:rPr>
          <w:rFonts w:hint="eastAsia" w:ascii="Times New Roman"/>
          <w:szCs w:val="32"/>
        </w:rPr>
        <w:t>西塞山区残疾人联合会部门整体支出</w:t>
      </w:r>
      <w:r>
        <w:rPr>
          <w:rFonts w:ascii="Times New Roman"/>
          <w:szCs w:val="32"/>
        </w:rPr>
        <w:t>项目</w:t>
      </w:r>
      <w:r>
        <w:rPr>
          <w:rFonts w:hint="eastAsia" w:ascii="Times New Roman"/>
          <w:szCs w:val="32"/>
        </w:rPr>
        <w:t>时效</w:t>
      </w:r>
      <w:r>
        <w:rPr>
          <w:rFonts w:ascii="Times New Roman"/>
          <w:szCs w:val="32"/>
        </w:rPr>
        <w:t>指标</w:t>
      </w:r>
      <w:r>
        <w:rPr>
          <w:rFonts w:hint="eastAsia" w:ascii="Times New Roman"/>
          <w:szCs w:val="32"/>
        </w:rPr>
        <w:t>未</w:t>
      </w:r>
      <w:r>
        <w:rPr>
          <w:rFonts w:ascii="Times New Roman"/>
          <w:szCs w:val="32"/>
        </w:rPr>
        <w:t>全部完成，具体见下表：</w:t>
      </w:r>
    </w:p>
    <w:tbl>
      <w:tblPr>
        <w:tblStyle w:val="13"/>
        <w:tblW w:w="8768" w:type="dxa"/>
        <w:tblInd w:w="91" w:type="dxa"/>
        <w:tblLayout w:type="fixed"/>
        <w:tblCellMar>
          <w:top w:w="0" w:type="dxa"/>
          <w:left w:w="108" w:type="dxa"/>
          <w:bottom w:w="0" w:type="dxa"/>
          <w:right w:w="108" w:type="dxa"/>
        </w:tblCellMar>
      </w:tblPr>
      <w:tblGrid>
        <w:gridCol w:w="2074"/>
        <w:gridCol w:w="1688"/>
        <w:gridCol w:w="1537"/>
        <w:gridCol w:w="938"/>
        <w:gridCol w:w="937"/>
        <w:gridCol w:w="1594"/>
      </w:tblGrid>
      <w:tr w14:paraId="3F8C7EB6">
        <w:tblPrEx>
          <w:tblCellMar>
            <w:top w:w="0" w:type="dxa"/>
            <w:left w:w="108" w:type="dxa"/>
            <w:bottom w:w="0" w:type="dxa"/>
            <w:right w:w="108" w:type="dxa"/>
          </w:tblCellMar>
        </w:tblPrEx>
        <w:trPr>
          <w:trHeight w:val="482" w:hRule="atLeast"/>
          <w:tblHeader/>
        </w:trPr>
        <w:tc>
          <w:tcPr>
            <w:tcW w:w="20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94DD66">
            <w:pPr>
              <w:widowControl/>
              <w:spacing w:line="0" w:lineRule="atLeast"/>
              <w:jc w:val="center"/>
              <w:textAlignment w:val="center"/>
              <w:rPr>
                <w:rFonts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三级指标</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329AC7">
            <w:pPr>
              <w:widowControl/>
              <w:spacing w:line="0" w:lineRule="atLeast"/>
              <w:jc w:val="center"/>
              <w:textAlignment w:val="center"/>
              <w:rPr>
                <w:rFonts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目标值</w:t>
            </w:r>
          </w:p>
        </w:tc>
        <w:tc>
          <w:tcPr>
            <w:tcW w:w="15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86F42F">
            <w:pPr>
              <w:widowControl/>
              <w:spacing w:line="0" w:lineRule="atLeast"/>
              <w:jc w:val="center"/>
              <w:textAlignment w:val="center"/>
              <w:rPr>
                <w:rFonts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完成情况</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0AB381">
            <w:pPr>
              <w:widowControl/>
              <w:spacing w:line="0" w:lineRule="atLeast"/>
              <w:jc w:val="center"/>
              <w:textAlignment w:val="center"/>
              <w:rPr>
                <w:rFonts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完成率</w:t>
            </w: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37A9E2">
            <w:pPr>
              <w:widowControl/>
              <w:spacing w:line="0" w:lineRule="atLeast"/>
              <w:jc w:val="center"/>
              <w:textAlignment w:val="center"/>
              <w:rPr>
                <w:rFonts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得分</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6372C4">
            <w:pPr>
              <w:widowControl/>
              <w:spacing w:line="0" w:lineRule="atLeast"/>
              <w:jc w:val="center"/>
              <w:textAlignment w:val="center"/>
              <w:rPr>
                <w:rFonts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证据来源</w:t>
            </w:r>
          </w:p>
        </w:tc>
      </w:tr>
      <w:tr w14:paraId="379C8922">
        <w:tblPrEx>
          <w:tblCellMar>
            <w:top w:w="0" w:type="dxa"/>
            <w:left w:w="108" w:type="dxa"/>
            <w:bottom w:w="0" w:type="dxa"/>
            <w:right w:w="108" w:type="dxa"/>
          </w:tblCellMar>
        </w:tblPrEx>
        <w:trPr>
          <w:trHeight w:val="480" w:hRule="atLeast"/>
        </w:trPr>
        <w:tc>
          <w:tcPr>
            <w:tcW w:w="20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AF7AF6">
            <w:pPr>
              <w:widowControl/>
              <w:spacing w:line="0" w:lineRule="atLeast"/>
              <w:jc w:val="center"/>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贫困重度残疾人家庭无障碍改造完成及时率</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F3DC33">
            <w:pPr>
              <w:widowControl/>
              <w:spacing w:line="0" w:lineRule="atLeast"/>
              <w:jc w:val="left"/>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2022年12月之前完成</w:t>
            </w:r>
          </w:p>
        </w:tc>
        <w:tc>
          <w:tcPr>
            <w:tcW w:w="15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24EB3F">
            <w:pPr>
              <w:widowControl/>
              <w:spacing w:line="0" w:lineRule="atLeast"/>
              <w:jc w:val="center"/>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按时完成</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7B06AA">
            <w:pPr>
              <w:widowControl/>
              <w:spacing w:line="0" w:lineRule="atLeast"/>
              <w:jc w:val="center"/>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100%</w:t>
            </w: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03FCB1">
            <w:pPr>
              <w:widowControl/>
              <w:spacing w:line="0" w:lineRule="atLeast"/>
              <w:jc w:val="center"/>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 xml:space="preserve">2.50 </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E27DEE">
            <w:pPr>
              <w:widowControl/>
              <w:spacing w:line="0" w:lineRule="atLeast"/>
              <w:jc w:val="left"/>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项目验收相关资料</w:t>
            </w:r>
          </w:p>
        </w:tc>
      </w:tr>
      <w:tr w14:paraId="2E61EBEF">
        <w:tblPrEx>
          <w:tblCellMar>
            <w:top w:w="0" w:type="dxa"/>
            <w:left w:w="108" w:type="dxa"/>
            <w:bottom w:w="0" w:type="dxa"/>
            <w:right w:w="108" w:type="dxa"/>
          </w:tblCellMar>
        </w:tblPrEx>
        <w:trPr>
          <w:trHeight w:val="480" w:hRule="atLeast"/>
        </w:trPr>
        <w:tc>
          <w:tcPr>
            <w:tcW w:w="20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745EFE">
            <w:pPr>
              <w:widowControl/>
              <w:spacing w:line="0" w:lineRule="atLeast"/>
              <w:jc w:val="center"/>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残疾人文化进家庭“五个一”完成及时率</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4D88C5">
            <w:pPr>
              <w:widowControl/>
              <w:spacing w:line="0" w:lineRule="atLeast"/>
              <w:jc w:val="left"/>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2022年12月底之前完成</w:t>
            </w:r>
          </w:p>
        </w:tc>
        <w:tc>
          <w:tcPr>
            <w:tcW w:w="15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55793F">
            <w:pPr>
              <w:widowControl/>
              <w:spacing w:line="0" w:lineRule="atLeast"/>
              <w:jc w:val="center"/>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按时完成</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116DA9">
            <w:pPr>
              <w:widowControl/>
              <w:spacing w:line="0" w:lineRule="atLeast"/>
              <w:jc w:val="center"/>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100%</w:t>
            </w: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B255C9">
            <w:pPr>
              <w:widowControl/>
              <w:spacing w:line="0" w:lineRule="atLeast"/>
              <w:jc w:val="center"/>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 xml:space="preserve">2.50 </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B15593">
            <w:pPr>
              <w:widowControl/>
              <w:spacing w:line="0" w:lineRule="atLeast"/>
              <w:jc w:val="left"/>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项目通知及名单</w:t>
            </w:r>
          </w:p>
        </w:tc>
      </w:tr>
      <w:tr w14:paraId="4C932927">
        <w:tblPrEx>
          <w:tblCellMar>
            <w:top w:w="0" w:type="dxa"/>
            <w:left w:w="108" w:type="dxa"/>
            <w:bottom w:w="0" w:type="dxa"/>
            <w:right w:w="108" w:type="dxa"/>
          </w:tblCellMar>
        </w:tblPrEx>
        <w:trPr>
          <w:trHeight w:val="1200" w:hRule="atLeast"/>
        </w:trPr>
        <w:tc>
          <w:tcPr>
            <w:tcW w:w="20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F574AE">
            <w:pPr>
              <w:widowControl/>
              <w:spacing w:line="0" w:lineRule="atLeast"/>
              <w:jc w:val="center"/>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扶残助学资助申报审核及时性</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0B4D4C">
            <w:pPr>
              <w:widowControl/>
              <w:spacing w:line="0" w:lineRule="atLeast"/>
              <w:jc w:val="left"/>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大学生（8月31日之前）、高中阶段学生（9月30日之前）完成</w:t>
            </w:r>
          </w:p>
        </w:tc>
        <w:tc>
          <w:tcPr>
            <w:tcW w:w="15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8F746C">
            <w:pPr>
              <w:widowControl/>
              <w:spacing w:line="0" w:lineRule="atLeast"/>
              <w:jc w:val="center"/>
              <w:textAlignment w:val="center"/>
              <w:rPr>
                <w:rFonts w:ascii="仿宋" w:hAnsi="仿宋" w:eastAsia="仿宋" w:cs="仿宋"/>
                <w:color w:val="FF0000"/>
                <w:sz w:val="28"/>
                <w:szCs w:val="28"/>
              </w:rPr>
            </w:pPr>
            <w:r>
              <w:rPr>
                <w:rFonts w:hint="eastAsia" w:ascii="仿宋" w:hAnsi="仿宋" w:eastAsia="仿宋" w:cs="仿宋"/>
                <w:color w:val="FF0000"/>
                <w:kern w:val="0"/>
                <w:sz w:val="28"/>
                <w:szCs w:val="28"/>
                <w:lang w:bidi="ar"/>
              </w:rPr>
              <w:t>大学生资助统计表日期9月26日，推迟26天</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DCF75B">
            <w:pPr>
              <w:widowControl/>
              <w:spacing w:line="0" w:lineRule="atLeast"/>
              <w:jc w:val="center"/>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50%</w:t>
            </w: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56CAF6">
            <w:pPr>
              <w:widowControl/>
              <w:spacing w:line="0" w:lineRule="atLeast"/>
              <w:jc w:val="center"/>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 xml:space="preserve">1.25 </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49C80D">
            <w:pPr>
              <w:widowControl/>
              <w:spacing w:line="0" w:lineRule="atLeast"/>
              <w:jc w:val="left"/>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市残联文件（黄残联发（2019）24号）、统计表</w:t>
            </w:r>
          </w:p>
        </w:tc>
      </w:tr>
      <w:tr w14:paraId="1A8ABC14">
        <w:tblPrEx>
          <w:tblCellMar>
            <w:top w:w="0" w:type="dxa"/>
            <w:left w:w="108" w:type="dxa"/>
            <w:bottom w:w="0" w:type="dxa"/>
            <w:right w:w="108" w:type="dxa"/>
          </w:tblCellMar>
        </w:tblPrEx>
        <w:trPr>
          <w:trHeight w:val="805" w:hRule="atLeast"/>
        </w:trPr>
        <w:tc>
          <w:tcPr>
            <w:tcW w:w="623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610EA83">
            <w:pPr>
              <w:widowControl/>
              <w:spacing w:line="0" w:lineRule="atLeast"/>
              <w:jc w:val="center"/>
              <w:textAlignment w:val="center"/>
              <w:rPr>
                <w:rFonts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合计</w:t>
            </w: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C6A24A">
            <w:pPr>
              <w:widowControl/>
              <w:spacing w:line="0" w:lineRule="atLeast"/>
              <w:jc w:val="center"/>
              <w:textAlignment w:val="center"/>
              <w:rPr>
                <w:rFonts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6.25</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CD0C65">
            <w:pPr>
              <w:widowControl/>
              <w:spacing w:line="0" w:lineRule="atLeast"/>
              <w:jc w:val="left"/>
              <w:textAlignment w:val="center"/>
              <w:rPr>
                <w:rFonts w:ascii="仿宋" w:hAnsi="仿宋" w:eastAsia="仿宋" w:cs="仿宋"/>
                <w:color w:val="000000"/>
                <w:kern w:val="0"/>
                <w:sz w:val="28"/>
                <w:szCs w:val="28"/>
                <w:lang w:bidi="ar"/>
              </w:rPr>
            </w:pPr>
          </w:p>
        </w:tc>
      </w:tr>
    </w:tbl>
    <w:p w14:paraId="33CB8E33">
      <w:pPr>
        <w:spacing w:line="560" w:lineRule="exact"/>
        <w:ind w:firstLine="632" w:firstLineChars="200"/>
        <w:rPr>
          <w:rFonts w:ascii="Times New Roman"/>
          <w:szCs w:val="32"/>
        </w:rPr>
      </w:pPr>
      <w:r>
        <w:rPr>
          <w:rFonts w:ascii="Times New Roman"/>
          <w:szCs w:val="32"/>
        </w:rPr>
        <w:t>本项标准分值</w:t>
      </w:r>
      <w:r>
        <w:rPr>
          <w:rFonts w:hint="eastAsia" w:ascii="Times New Roman"/>
          <w:szCs w:val="32"/>
        </w:rPr>
        <w:t>7.</w:t>
      </w:r>
      <w:r>
        <w:rPr>
          <w:rFonts w:ascii="Times New Roman"/>
          <w:szCs w:val="32"/>
        </w:rPr>
        <w:t>5分，综合得分</w:t>
      </w:r>
      <w:r>
        <w:rPr>
          <w:rFonts w:hint="eastAsia" w:ascii="Times New Roman"/>
          <w:szCs w:val="32"/>
        </w:rPr>
        <w:t>6.2</w:t>
      </w:r>
      <w:r>
        <w:rPr>
          <w:rFonts w:ascii="Times New Roman"/>
          <w:szCs w:val="32"/>
        </w:rPr>
        <w:t>5分。</w:t>
      </w:r>
    </w:p>
    <w:p w14:paraId="2AEB9771">
      <w:pPr>
        <w:pStyle w:val="5"/>
        <w:spacing w:line="560" w:lineRule="exact"/>
        <w:ind w:firstLine="633"/>
        <w:rPr>
          <w:rFonts w:ascii="Times New Roman" w:hAnsi="Times New Roman"/>
          <w:sz w:val="32"/>
          <w:szCs w:val="36"/>
        </w:rPr>
      </w:pPr>
      <w:r>
        <w:rPr>
          <w:rFonts w:ascii="Times New Roman" w:hAnsi="Times New Roman"/>
          <w:sz w:val="32"/>
          <w:szCs w:val="36"/>
        </w:rPr>
        <w:t>4、</w:t>
      </w:r>
      <w:r>
        <w:rPr>
          <w:rFonts w:hint="eastAsia" w:ascii="Times New Roman" w:hAnsi="Times New Roman"/>
          <w:sz w:val="32"/>
          <w:szCs w:val="36"/>
        </w:rPr>
        <w:t>社会效应指标完成情况详细分析</w:t>
      </w:r>
    </w:p>
    <w:p w14:paraId="730CA281">
      <w:pPr>
        <w:spacing w:line="560" w:lineRule="exact"/>
        <w:ind w:firstLine="632" w:firstLineChars="200"/>
        <w:rPr>
          <w:rFonts w:ascii="Times New Roman"/>
          <w:szCs w:val="32"/>
        </w:rPr>
      </w:pPr>
      <w:r>
        <w:rPr>
          <w:rFonts w:hint="eastAsia" w:ascii="Times New Roman"/>
          <w:szCs w:val="36"/>
        </w:rPr>
        <w:t>社会效应</w:t>
      </w:r>
      <w:r>
        <w:rPr>
          <w:rFonts w:ascii="Times New Roman"/>
          <w:szCs w:val="32"/>
        </w:rPr>
        <w:t>指标总分值</w:t>
      </w:r>
      <w:r>
        <w:rPr>
          <w:rFonts w:hint="eastAsia" w:ascii="Times New Roman"/>
          <w:szCs w:val="32"/>
        </w:rPr>
        <w:t>15</w:t>
      </w:r>
      <w:r>
        <w:rPr>
          <w:rFonts w:ascii="Times New Roman"/>
          <w:szCs w:val="32"/>
        </w:rPr>
        <w:t>分，实际得分1</w:t>
      </w:r>
      <w:r>
        <w:rPr>
          <w:rFonts w:hint="eastAsia" w:ascii="Times New Roman"/>
          <w:szCs w:val="32"/>
        </w:rPr>
        <w:t>3.81</w:t>
      </w:r>
      <w:r>
        <w:rPr>
          <w:rFonts w:ascii="Times New Roman"/>
          <w:szCs w:val="32"/>
        </w:rPr>
        <w:t>分。各项指标具体完成情况如下：</w:t>
      </w:r>
    </w:p>
    <w:bookmarkEnd w:id="11"/>
    <w:p w14:paraId="23C315F0">
      <w:pPr>
        <w:spacing w:line="560" w:lineRule="exact"/>
        <w:ind w:firstLine="632" w:firstLineChars="200"/>
        <w:rPr>
          <w:rFonts w:ascii="Times New Roman"/>
          <w:kern w:val="0"/>
          <w:szCs w:val="36"/>
        </w:rPr>
      </w:pPr>
      <w:bookmarkStart w:id="13" w:name="_Toc40281676"/>
      <w:r>
        <w:rPr>
          <w:rFonts w:ascii="Times New Roman"/>
          <w:kern w:val="0"/>
          <w:szCs w:val="36"/>
        </w:rPr>
        <w:t>（1）</w:t>
      </w:r>
      <w:r>
        <w:rPr>
          <w:rFonts w:hint="eastAsia" w:ascii="Times New Roman"/>
          <w:kern w:val="0"/>
          <w:szCs w:val="36"/>
        </w:rPr>
        <w:t>经济</w:t>
      </w:r>
      <w:r>
        <w:rPr>
          <w:rFonts w:ascii="Times New Roman"/>
          <w:kern w:val="0"/>
          <w:szCs w:val="36"/>
        </w:rPr>
        <w:t>效益指标</w:t>
      </w:r>
    </w:p>
    <w:p w14:paraId="359D7D1E">
      <w:pPr>
        <w:spacing w:line="560" w:lineRule="exact"/>
        <w:ind w:firstLine="632" w:firstLineChars="200"/>
        <w:rPr>
          <w:rFonts w:ascii="Times New Roman"/>
          <w:szCs w:val="32"/>
        </w:rPr>
      </w:pPr>
      <w:r>
        <w:rPr>
          <w:rFonts w:hint="eastAsia" w:ascii="Times New Roman"/>
          <w:szCs w:val="32"/>
        </w:rPr>
        <w:t>通过对调查问卷汇总分析，受益群众对所受益项目满意度为81%，表明所受益项目对其生活水平的影响效果一般。</w:t>
      </w:r>
    </w:p>
    <w:p w14:paraId="1D594ED1">
      <w:pPr>
        <w:spacing w:line="560" w:lineRule="exact"/>
        <w:ind w:firstLine="632" w:firstLineChars="200"/>
        <w:rPr>
          <w:rFonts w:ascii="Times New Roman"/>
        </w:rPr>
      </w:pPr>
      <w:r>
        <w:rPr>
          <w:rFonts w:ascii="Times New Roman"/>
          <w:szCs w:val="32"/>
        </w:rPr>
        <w:t>本项标准分值</w:t>
      </w:r>
      <w:r>
        <w:rPr>
          <w:rFonts w:hint="eastAsia" w:ascii="Times New Roman"/>
          <w:szCs w:val="32"/>
        </w:rPr>
        <w:t>3</w:t>
      </w:r>
      <w:r>
        <w:rPr>
          <w:rFonts w:ascii="Times New Roman"/>
          <w:szCs w:val="32"/>
        </w:rPr>
        <w:t>分，综合得分</w:t>
      </w:r>
      <w:r>
        <w:rPr>
          <w:rFonts w:hint="eastAsia" w:ascii="Times New Roman"/>
          <w:szCs w:val="32"/>
        </w:rPr>
        <w:t>2.43</w:t>
      </w:r>
      <w:r>
        <w:rPr>
          <w:rFonts w:ascii="Times New Roman"/>
          <w:szCs w:val="32"/>
        </w:rPr>
        <w:t>分</w:t>
      </w:r>
      <w:r>
        <w:rPr>
          <w:rFonts w:ascii="Times New Roman"/>
        </w:rPr>
        <w:t>。</w:t>
      </w:r>
    </w:p>
    <w:p w14:paraId="6DCB3759">
      <w:pPr>
        <w:numPr>
          <w:ilvl w:val="0"/>
          <w:numId w:val="9"/>
        </w:numPr>
        <w:spacing w:line="560" w:lineRule="exact"/>
        <w:ind w:firstLine="632" w:firstLineChars="200"/>
        <w:rPr>
          <w:rFonts w:ascii="Times New Roman"/>
          <w:kern w:val="0"/>
          <w:szCs w:val="36"/>
        </w:rPr>
      </w:pPr>
      <w:r>
        <w:rPr>
          <w:rFonts w:hint="eastAsia" w:ascii="Times New Roman"/>
          <w:kern w:val="0"/>
          <w:szCs w:val="36"/>
        </w:rPr>
        <w:t>社会</w:t>
      </w:r>
      <w:r>
        <w:rPr>
          <w:rFonts w:ascii="Times New Roman"/>
          <w:kern w:val="0"/>
          <w:szCs w:val="36"/>
        </w:rPr>
        <w:t>效益指标</w:t>
      </w:r>
    </w:p>
    <w:p w14:paraId="761E9859">
      <w:pPr>
        <w:spacing w:line="560" w:lineRule="exact"/>
        <w:ind w:left="630"/>
        <w:rPr>
          <w:rFonts w:ascii="Times New Roman"/>
          <w:kern w:val="0"/>
          <w:szCs w:val="36"/>
        </w:rPr>
      </w:pPr>
      <w:r>
        <w:rPr>
          <w:rFonts w:hint="eastAsia" w:ascii="Times New Roman"/>
          <w:kern w:val="0"/>
          <w:szCs w:val="36"/>
        </w:rPr>
        <w:t>社会效益指标得分情况详见下表：</w:t>
      </w:r>
    </w:p>
    <w:tbl>
      <w:tblPr>
        <w:tblStyle w:val="13"/>
        <w:tblW w:w="8777" w:type="dxa"/>
        <w:tblInd w:w="91" w:type="dxa"/>
        <w:tblLayout w:type="autofit"/>
        <w:tblCellMar>
          <w:top w:w="0" w:type="dxa"/>
          <w:left w:w="108" w:type="dxa"/>
          <w:bottom w:w="0" w:type="dxa"/>
          <w:right w:w="108" w:type="dxa"/>
        </w:tblCellMar>
      </w:tblPr>
      <w:tblGrid>
        <w:gridCol w:w="2329"/>
        <w:gridCol w:w="1631"/>
        <w:gridCol w:w="1444"/>
        <w:gridCol w:w="1069"/>
        <w:gridCol w:w="932"/>
        <w:gridCol w:w="1372"/>
      </w:tblGrid>
      <w:tr w14:paraId="31108532">
        <w:tblPrEx>
          <w:tblCellMar>
            <w:top w:w="0" w:type="dxa"/>
            <w:left w:w="108" w:type="dxa"/>
            <w:bottom w:w="0" w:type="dxa"/>
            <w:right w:w="108" w:type="dxa"/>
          </w:tblCellMar>
        </w:tblPrEx>
        <w:trPr>
          <w:trHeight w:val="763" w:hRule="atLeast"/>
          <w:tblHeader/>
        </w:trPr>
        <w:tc>
          <w:tcPr>
            <w:tcW w:w="2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B53F3A">
            <w:pPr>
              <w:widowControl/>
              <w:spacing w:line="0" w:lineRule="atLeast"/>
              <w:jc w:val="center"/>
              <w:textAlignment w:val="center"/>
              <w:rPr>
                <w:rFonts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三级指标</w:t>
            </w:r>
          </w:p>
        </w:tc>
        <w:tc>
          <w:tcPr>
            <w:tcW w:w="16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69F1F1">
            <w:pPr>
              <w:widowControl/>
              <w:spacing w:line="0" w:lineRule="atLeast"/>
              <w:jc w:val="center"/>
              <w:textAlignment w:val="center"/>
              <w:rPr>
                <w:rFonts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目标值</w:t>
            </w:r>
          </w:p>
        </w:tc>
        <w:tc>
          <w:tcPr>
            <w:tcW w:w="14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9319DA">
            <w:pPr>
              <w:widowControl/>
              <w:spacing w:line="0" w:lineRule="atLeast"/>
              <w:jc w:val="center"/>
              <w:textAlignment w:val="center"/>
              <w:rPr>
                <w:rFonts w:ascii="仿宋" w:hAnsi="仿宋" w:eastAsia="仿宋" w:cs="仿宋"/>
                <w:color w:val="FF0000"/>
                <w:kern w:val="0"/>
                <w:sz w:val="28"/>
                <w:szCs w:val="28"/>
                <w:lang w:bidi="ar"/>
              </w:rPr>
            </w:pPr>
            <w:r>
              <w:rPr>
                <w:rFonts w:hint="eastAsia" w:ascii="仿宋" w:hAnsi="仿宋" w:eastAsia="仿宋" w:cs="仿宋"/>
                <w:color w:val="000000"/>
                <w:kern w:val="0"/>
                <w:sz w:val="28"/>
                <w:szCs w:val="28"/>
                <w:lang w:bidi="ar"/>
              </w:rPr>
              <w:t>完成情况</w:t>
            </w:r>
          </w:p>
        </w:tc>
        <w:tc>
          <w:tcPr>
            <w:tcW w:w="10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9CBE45">
            <w:pPr>
              <w:widowControl/>
              <w:spacing w:line="0" w:lineRule="atLeast"/>
              <w:jc w:val="center"/>
              <w:textAlignment w:val="center"/>
              <w:rPr>
                <w:rFonts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完成率</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7483B4">
            <w:pPr>
              <w:widowControl/>
              <w:spacing w:line="0" w:lineRule="atLeast"/>
              <w:jc w:val="center"/>
              <w:textAlignment w:val="center"/>
              <w:rPr>
                <w:rFonts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得分</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7D956E">
            <w:pPr>
              <w:widowControl/>
              <w:spacing w:line="0" w:lineRule="atLeast"/>
              <w:jc w:val="center"/>
              <w:textAlignment w:val="center"/>
              <w:rPr>
                <w:rFonts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证据来源</w:t>
            </w:r>
          </w:p>
        </w:tc>
      </w:tr>
      <w:tr w14:paraId="12EA94CE">
        <w:tblPrEx>
          <w:tblCellMar>
            <w:top w:w="0" w:type="dxa"/>
            <w:left w:w="108" w:type="dxa"/>
            <w:bottom w:w="0" w:type="dxa"/>
            <w:right w:w="108" w:type="dxa"/>
          </w:tblCellMar>
        </w:tblPrEx>
        <w:trPr>
          <w:trHeight w:val="480" w:hRule="atLeast"/>
        </w:trPr>
        <w:tc>
          <w:tcPr>
            <w:tcW w:w="2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9D0213">
            <w:pPr>
              <w:widowControl/>
              <w:spacing w:line="0" w:lineRule="atLeast"/>
              <w:jc w:val="center"/>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残疾人康复服务水平提高</w:t>
            </w:r>
          </w:p>
        </w:tc>
        <w:tc>
          <w:tcPr>
            <w:tcW w:w="16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3EC7D1">
            <w:pPr>
              <w:widowControl/>
              <w:spacing w:line="0" w:lineRule="atLeast"/>
              <w:jc w:val="left"/>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较上年提高</w:t>
            </w:r>
          </w:p>
        </w:tc>
        <w:tc>
          <w:tcPr>
            <w:tcW w:w="14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FCD794">
            <w:pPr>
              <w:widowControl/>
              <w:spacing w:line="0" w:lineRule="atLeast"/>
              <w:jc w:val="center"/>
              <w:textAlignment w:val="center"/>
              <w:rPr>
                <w:rFonts w:ascii="仿宋" w:hAnsi="仿宋" w:eastAsia="仿宋" w:cs="仿宋"/>
                <w:color w:val="FF0000"/>
                <w:sz w:val="28"/>
                <w:szCs w:val="28"/>
              </w:rPr>
            </w:pPr>
            <w:r>
              <w:rPr>
                <w:rFonts w:hint="eastAsia" w:ascii="仿宋" w:hAnsi="仿宋" w:eastAsia="仿宋" w:cs="仿宋"/>
                <w:color w:val="FF0000"/>
                <w:kern w:val="0"/>
                <w:sz w:val="28"/>
                <w:szCs w:val="28"/>
                <w:lang w:bidi="ar"/>
              </w:rPr>
              <w:t>提升</w:t>
            </w:r>
          </w:p>
        </w:tc>
        <w:tc>
          <w:tcPr>
            <w:tcW w:w="10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7902A1">
            <w:pPr>
              <w:widowControl/>
              <w:spacing w:line="0" w:lineRule="atLeast"/>
              <w:jc w:val="center"/>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100%</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769623">
            <w:pPr>
              <w:widowControl/>
              <w:spacing w:line="0" w:lineRule="atLeast"/>
              <w:jc w:val="center"/>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 xml:space="preserve">3.00 </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4F6825">
            <w:pPr>
              <w:widowControl/>
              <w:spacing w:line="0" w:lineRule="atLeast"/>
              <w:jc w:val="left"/>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资金文件、完成指标</w:t>
            </w:r>
          </w:p>
        </w:tc>
      </w:tr>
      <w:tr w14:paraId="260D6589">
        <w:tblPrEx>
          <w:tblCellMar>
            <w:top w:w="0" w:type="dxa"/>
            <w:left w:w="108" w:type="dxa"/>
            <w:bottom w:w="0" w:type="dxa"/>
            <w:right w:w="108" w:type="dxa"/>
          </w:tblCellMar>
        </w:tblPrEx>
        <w:trPr>
          <w:trHeight w:val="720" w:hRule="atLeast"/>
        </w:trPr>
        <w:tc>
          <w:tcPr>
            <w:tcW w:w="2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924E96">
            <w:pPr>
              <w:widowControl/>
              <w:spacing w:line="0" w:lineRule="atLeast"/>
              <w:jc w:val="center"/>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有需求的残疾儿童得到基本康复服务覆盖率提高</w:t>
            </w:r>
          </w:p>
        </w:tc>
        <w:tc>
          <w:tcPr>
            <w:tcW w:w="16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D90B86">
            <w:pPr>
              <w:widowControl/>
              <w:spacing w:line="0" w:lineRule="atLeast"/>
              <w:jc w:val="left"/>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较上年提高</w:t>
            </w:r>
          </w:p>
        </w:tc>
        <w:tc>
          <w:tcPr>
            <w:tcW w:w="14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B465A4">
            <w:pPr>
              <w:widowControl/>
              <w:spacing w:line="0" w:lineRule="atLeast"/>
              <w:jc w:val="center"/>
              <w:textAlignment w:val="center"/>
              <w:rPr>
                <w:rFonts w:ascii="仿宋" w:hAnsi="仿宋" w:eastAsia="仿宋" w:cs="仿宋"/>
                <w:color w:val="FF0000"/>
                <w:sz w:val="28"/>
                <w:szCs w:val="28"/>
              </w:rPr>
            </w:pPr>
            <w:r>
              <w:rPr>
                <w:rFonts w:hint="eastAsia" w:ascii="仿宋" w:hAnsi="仿宋" w:eastAsia="仿宋" w:cs="仿宋"/>
                <w:color w:val="FF0000"/>
                <w:kern w:val="0"/>
                <w:sz w:val="28"/>
                <w:szCs w:val="28"/>
                <w:lang w:bidi="ar"/>
              </w:rPr>
              <w:t>提升</w:t>
            </w:r>
          </w:p>
        </w:tc>
        <w:tc>
          <w:tcPr>
            <w:tcW w:w="10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28677C">
            <w:pPr>
              <w:widowControl/>
              <w:spacing w:line="0" w:lineRule="atLeast"/>
              <w:jc w:val="center"/>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100%</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0518AF">
            <w:pPr>
              <w:widowControl/>
              <w:spacing w:line="0" w:lineRule="atLeast"/>
              <w:jc w:val="center"/>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 xml:space="preserve">3.00 </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EBD0DA">
            <w:pPr>
              <w:widowControl/>
              <w:spacing w:line="0" w:lineRule="atLeast"/>
              <w:jc w:val="left"/>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资金文件、完成指标</w:t>
            </w:r>
          </w:p>
        </w:tc>
      </w:tr>
      <w:tr w14:paraId="29C93C77">
        <w:tblPrEx>
          <w:tblCellMar>
            <w:top w:w="0" w:type="dxa"/>
            <w:left w:w="108" w:type="dxa"/>
            <w:bottom w:w="0" w:type="dxa"/>
            <w:right w:w="108" w:type="dxa"/>
          </w:tblCellMar>
        </w:tblPrEx>
        <w:trPr>
          <w:trHeight w:val="480" w:hRule="atLeast"/>
        </w:trPr>
        <w:tc>
          <w:tcPr>
            <w:tcW w:w="2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B876E7">
            <w:pPr>
              <w:widowControl/>
              <w:spacing w:line="0" w:lineRule="atLeast"/>
              <w:jc w:val="center"/>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残疾人机动轮椅车车主出行便利程度提高</w:t>
            </w:r>
          </w:p>
        </w:tc>
        <w:tc>
          <w:tcPr>
            <w:tcW w:w="16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2A4288">
            <w:pPr>
              <w:widowControl/>
              <w:spacing w:line="0" w:lineRule="atLeast"/>
              <w:jc w:val="left"/>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受众的满意程度</w:t>
            </w:r>
          </w:p>
        </w:tc>
        <w:tc>
          <w:tcPr>
            <w:tcW w:w="14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F0C62D">
            <w:pPr>
              <w:widowControl/>
              <w:spacing w:line="0" w:lineRule="atLeast"/>
              <w:jc w:val="center"/>
              <w:textAlignment w:val="center"/>
              <w:rPr>
                <w:rFonts w:ascii="仿宋" w:hAnsi="仿宋" w:eastAsia="仿宋" w:cs="仿宋"/>
                <w:color w:val="FF0000"/>
                <w:sz w:val="28"/>
                <w:szCs w:val="28"/>
              </w:rPr>
            </w:pPr>
            <w:r>
              <w:rPr>
                <w:rFonts w:hint="eastAsia" w:ascii="仿宋" w:hAnsi="仿宋" w:eastAsia="仿宋" w:cs="仿宋"/>
                <w:color w:val="FF0000"/>
                <w:kern w:val="0"/>
                <w:sz w:val="28"/>
                <w:szCs w:val="28"/>
                <w:lang w:bidi="ar"/>
              </w:rPr>
              <w:t>满意度81%</w:t>
            </w:r>
          </w:p>
        </w:tc>
        <w:tc>
          <w:tcPr>
            <w:tcW w:w="10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318626">
            <w:pPr>
              <w:widowControl/>
              <w:spacing w:line="0" w:lineRule="atLeast"/>
              <w:jc w:val="center"/>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81%</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318135">
            <w:pPr>
              <w:widowControl/>
              <w:spacing w:line="0" w:lineRule="atLeast"/>
              <w:jc w:val="center"/>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 xml:space="preserve">1.62 </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53135A">
            <w:pPr>
              <w:widowControl/>
              <w:spacing w:line="0" w:lineRule="atLeast"/>
              <w:jc w:val="left"/>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调查走访</w:t>
            </w:r>
          </w:p>
        </w:tc>
      </w:tr>
      <w:tr w14:paraId="566D5603">
        <w:tblPrEx>
          <w:tblCellMar>
            <w:top w:w="0" w:type="dxa"/>
            <w:left w:w="108" w:type="dxa"/>
            <w:bottom w:w="0" w:type="dxa"/>
            <w:right w:w="108" w:type="dxa"/>
          </w:tblCellMar>
        </w:tblPrEx>
        <w:trPr>
          <w:trHeight w:val="480" w:hRule="atLeast"/>
        </w:trPr>
        <w:tc>
          <w:tcPr>
            <w:tcW w:w="2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FAAEBF">
            <w:pPr>
              <w:widowControl/>
              <w:spacing w:line="0" w:lineRule="atLeast"/>
              <w:jc w:val="center"/>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残疾人享有公共文化服务水平提高</w:t>
            </w:r>
          </w:p>
        </w:tc>
        <w:tc>
          <w:tcPr>
            <w:tcW w:w="16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D4AC07">
            <w:pPr>
              <w:widowControl/>
              <w:spacing w:line="0" w:lineRule="atLeast"/>
              <w:jc w:val="left"/>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受众的满意程度</w:t>
            </w:r>
          </w:p>
        </w:tc>
        <w:tc>
          <w:tcPr>
            <w:tcW w:w="14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E24759">
            <w:pPr>
              <w:widowControl/>
              <w:spacing w:line="0" w:lineRule="atLeast"/>
              <w:jc w:val="center"/>
              <w:textAlignment w:val="center"/>
              <w:rPr>
                <w:rFonts w:ascii="仿宋" w:hAnsi="仿宋" w:eastAsia="仿宋" w:cs="仿宋"/>
                <w:color w:val="FF0000"/>
                <w:sz w:val="28"/>
                <w:szCs w:val="28"/>
              </w:rPr>
            </w:pPr>
            <w:r>
              <w:rPr>
                <w:rFonts w:hint="eastAsia" w:ascii="仿宋" w:hAnsi="仿宋" w:eastAsia="仿宋" w:cs="仿宋"/>
                <w:color w:val="FF0000"/>
                <w:kern w:val="0"/>
                <w:sz w:val="28"/>
                <w:szCs w:val="28"/>
                <w:lang w:bidi="ar"/>
              </w:rPr>
              <w:t>满意度88%</w:t>
            </w:r>
          </w:p>
        </w:tc>
        <w:tc>
          <w:tcPr>
            <w:tcW w:w="10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B7B755">
            <w:pPr>
              <w:widowControl/>
              <w:spacing w:line="0" w:lineRule="atLeast"/>
              <w:jc w:val="center"/>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88%</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C22CDC">
            <w:pPr>
              <w:widowControl/>
              <w:spacing w:line="0" w:lineRule="atLeast"/>
              <w:jc w:val="center"/>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 xml:space="preserve">1.76 </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25BB1C">
            <w:pPr>
              <w:widowControl/>
              <w:spacing w:line="0" w:lineRule="atLeast"/>
              <w:jc w:val="left"/>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调查走访</w:t>
            </w:r>
          </w:p>
        </w:tc>
      </w:tr>
      <w:tr w14:paraId="5B806C4B">
        <w:tblPrEx>
          <w:tblCellMar>
            <w:top w:w="0" w:type="dxa"/>
            <w:left w:w="108" w:type="dxa"/>
            <w:bottom w:w="0" w:type="dxa"/>
            <w:right w:w="108" w:type="dxa"/>
          </w:tblCellMar>
        </w:tblPrEx>
        <w:trPr>
          <w:trHeight w:val="480" w:hRule="atLeast"/>
        </w:trPr>
        <w:tc>
          <w:tcPr>
            <w:tcW w:w="2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08AAB7">
            <w:pPr>
              <w:widowControl/>
              <w:spacing w:line="0" w:lineRule="atLeast"/>
              <w:jc w:val="center"/>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残疾人信访维权处理情况</w:t>
            </w:r>
          </w:p>
        </w:tc>
        <w:tc>
          <w:tcPr>
            <w:tcW w:w="16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808069">
            <w:pPr>
              <w:widowControl/>
              <w:spacing w:line="0" w:lineRule="atLeast"/>
              <w:jc w:val="left"/>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积极处理</w:t>
            </w:r>
          </w:p>
        </w:tc>
        <w:tc>
          <w:tcPr>
            <w:tcW w:w="14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8FFB9F">
            <w:pPr>
              <w:widowControl/>
              <w:spacing w:line="0" w:lineRule="atLeast"/>
              <w:jc w:val="center"/>
              <w:textAlignment w:val="center"/>
              <w:rPr>
                <w:rFonts w:ascii="仿宋" w:hAnsi="仿宋" w:eastAsia="仿宋" w:cs="仿宋"/>
                <w:color w:val="FF0000"/>
                <w:sz w:val="28"/>
                <w:szCs w:val="28"/>
              </w:rPr>
            </w:pPr>
            <w:r>
              <w:rPr>
                <w:rFonts w:hint="eastAsia" w:ascii="仿宋" w:hAnsi="仿宋" w:eastAsia="仿宋" w:cs="仿宋"/>
                <w:color w:val="FF0000"/>
                <w:kern w:val="0"/>
                <w:sz w:val="28"/>
                <w:szCs w:val="28"/>
                <w:lang w:bidi="ar"/>
              </w:rPr>
              <w:t>积极处理</w:t>
            </w:r>
          </w:p>
        </w:tc>
        <w:tc>
          <w:tcPr>
            <w:tcW w:w="10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11960B">
            <w:pPr>
              <w:widowControl/>
              <w:spacing w:line="0" w:lineRule="atLeast"/>
              <w:jc w:val="center"/>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100%</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AB548E">
            <w:pPr>
              <w:widowControl/>
              <w:spacing w:line="0" w:lineRule="atLeast"/>
              <w:jc w:val="center"/>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 xml:space="preserve">2.00 </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409F9F">
            <w:pPr>
              <w:widowControl/>
              <w:spacing w:line="0" w:lineRule="atLeast"/>
              <w:jc w:val="left"/>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信访回复报告</w:t>
            </w:r>
          </w:p>
        </w:tc>
      </w:tr>
      <w:tr w14:paraId="0B6B3701">
        <w:tblPrEx>
          <w:tblCellMar>
            <w:top w:w="0" w:type="dxa"/>
            <w:left w:w="108" w:type="dxa"/>
            <w:bottom w:w="0" w:type="dxa"/>
            <w:right w:w="108" w:type="dxa"/>
          </w:tblCellMar>
        </w:tblPrEx>
        <w:trPr>
          <w:trHeight w:val="673" w:hRule="atLeast"/>
        </w:trPr>
        <w:tc>
          <w:tcPr>
            <w:tcW w:w="647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A37D84B">
            <w:pPr>
              <w:widowControl/>
              <w:spacing w:line="0" w:lineRule="atLeast"/>
              <w:jc w:val="center"/>
              <w:textAlignment w:val="center"/>
              <w:rPr>
                <w:rFonts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合计</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29D187">
            <w:pPr>
              <w:widowControl/>
              <w:spacing w:line="0" w:lineRule="atLeast"/>
              <w:jc w:val="center"/>
              <w:textAlignment w:val="center"/>
              <w:rPr>
                <w:rFonts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11.38</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08C3FD">
            <w:pPr>
              <w:widowControl/>
              <w:spacing w:line="0" w:lineRule="atLeast"/>
              <w:jc w:val="left"/>
              <w:textAlignment w:val="center"/>
              <w:rPr>
                <w:rFonts w:ascii="仿宋" w:hAnsi="仿宋" w:eastAsia="仿宋" w:cs="仿宋"/>
                <w:color w:val="000000"/>
                <w:kern w:val="0"/>
                <w:sz w:val="28"/>
                <w:szCs w:val="28"/>
                <w:lang w:bidi="ar"/>
              </w:rPr>
            </w:pPr>
          </w:p>
        </w:tc>
      </w:tr>
    </w:tbl>
    <w:p w14:paraId="274A0604">
      <w:pPr>
        <w:spacing w:line="560" w:lineRule="exact"/>
        <w:ind w:firstLine="632" w:firstLineChars="200"/>
        <w:rPr>
          <w:rFonts w:ascii="Times New Roman"/>
        </w:rPr>
      </w:pPr>
      <w:r>
        <w:rPr>
          <w:rFonts w:ascii="Times New Roman"/>
          <w:szCs w:val="32"/>
        </w:rPr>
        <w:t>本项标准分值</w:t>
      </w:r>
      <w:r>
        <w:rPr>
          <w:rFonts w:hint="eastAsia" w:ascii="Times New Roman"/>
          <w:szCs w:val="32"/>
        </w:rPr>
        <w:t>12</w:t>
      </w:r>
      <w:r>
        <w:rPr>
          <w:rFonts w:ascii="Times New Roman"/>
          <w:szCs w:val="32"/>
        </w:rPr>
        <w:t>分，综合得分</w:t>
      </w:r>
      <w:r>
        <w:rPr>
          <w:rFonts w:hint="eastAsia" w:ascii="Times New Roman"/>
          <w:szCs w:val="32"/>
        </w:rPr>
        <w:t>11.38</w:t>
      </w:r>
      <w:r>
        <w:rPr>
          <w:rFonts w:ascii="Times New Roman"/>
          <w:szCs w:val="32"/>
        </w:rPr>
        <w:t>分</w:t>
      </w:r>
      <w:r>
        <w:rPr>
          <w:rFonts w:ascii="Times New Roman"/>
        </w:rPr>
        <w:t>。</w:t>
      </w:r>
    </w:p>
    <w:p w14:paraId="0CC3B884">
      <w:pPr>
        <w:spacing w:line="560" w:lineRule="exact"/>
        <w:ind w:firstLine="632" w:firstLineChars="200"/>
        <w:rPr>
          <w:rFonts w:ascii="Times New Roman"/>
          <w:b/>
          <w:bCs/>
        </w:rPr>
      </w:pPr>
      <w:r>
        <w:rPr>
          <w:rFonts w:hint="eastAsia" w:ascii="Times New Roman"/>
          <w:b/>
          <w:bCs/>
        </w:rPr>
        <w:t>5、可持续发展能力</w:t>
      </w:r>
      <w:r>
        <w:rPr>
          <w:rFonts w:hint="eastAsia" w:ascii="Times New Roman"/>
          <w:b/>
          <w:bCs/>
          <w:szCs w:val="36"/>
        </w:rPr>
        <w:t>指标完成情况详细分析</w:t>
      </w:r>
    </w:p>
    <w:p w14:paraId="2784D093">
      <w:pPr>
        <w:spacing w:line="560" w:lineRule="exact"/>
        <w:ind w:firstLine="632" w:firstLineChars="200"/>
        <w:rPr>
          <w:rFonts w:ascii="Times New Roman"/>
        </w:rPr>
      </w:pPr>
      <w:r>
        <w:rPr>
          <w:rFonts w:ascii="Times New Roman"/>
          <w:kern w:val="0"/>
          <w:szCs w:val="36"/>
        </w:rPr>
        <w:t>（</w:t>
      </w:r>
      <w:r>
        <w:rPr>
          <w:rFonts w:hint="eastAsia" w:ascii="Times New Roman"/>
          <w:kern w:val="0"/>
          <w:szCs w:val="36"/>
        </w:rPr>
        <w:t>1</w:t>
      </w:r>
      <w:r>
        <w:rPr>
          <w:rFonts w:ascii="Times New Roman"/>
          <w:kern w:val="0"/>
          <w:szCs w:val="36"/>
        </w:rPr>
        <w:t>）</w:t>
      </w:r>
      <w:r>
        <w:rPr>
          <w:rFonts w:hint="eastAsia" w:ascii="Times New Roman"/>
          <w:kern w:val="0"/>
          <w:szCs w:val="36"/>
        </w:rPr>
        <w:t>体制机制改革</w:t>
      </w:r>
      <w:r>
        <w:rPr>
          <w:rFonts w:ascii="Times New Roman"/>
        </w:rPr>
        <w:t>。</w:t>
      </w:r>
    </w:p>
    <w:p w14:paraId="3CF06A57">
      <w:pPr>
        <w:spacing w:line="560" w:lineRule="exact"/>
        <w:ind w:firstLine="632" w:firstLineChars="200"/>
        <w:rPr>
          <w:rFonts w:ascii="Times New Roman"/>
        </w:rPr>
      </w:pPr>
      <w:r>
        <w:rPr>
          <w:rFonts w:hint="eastAsia"/>
        </w:rPr>
        <w:t>该部门服务社会化，服务市场；程序法定化、明确事权和相应的支出责任，</w:t>
      </w:r>
      <w:r>
        <w:rPr>
          <w:rFonts w:hint="eastAsia"/>
          <w:szCs w:val="32"/>
        </w:rPr>
        <w:t>按照《中国残疾人联合会章程》，在区委、区政府的领导和市残联的指导下开展工作</w:t>
      </w:r>
      <w:r>
        <w:rPr>
          <w:rFonts w:hint="eastAsia" w:ascii="Times New Roman"/>
        </w:rPr>
        <w:t>。</w:t>
      </w:r>
    </w:p>
    <w:p w14:paraId="06EF4A4B">
      <w:pPr>
        <w:spacing w:line="560" w:lineRule="exact"/>
        <w:ind w:firstLine="632" w:firstLineChars="200"/>
        <w:rPr>
          <w:rFonts w:ascii="Times New Roman"/>
        </w:rPr>
      </w:pPr>
      <w:r>
        <w:rPr>
          <w:rFonts w:ascii="Times New Roman"/>
          <w:szCs w:val="32"/>
        </w:rPr>
        <w:t>本项标准分值</w:t>
      </w:r>
      <w:r>
        <w:rPr>
          <w:rFonts w:hint="eastAsia" w:ascii="Times New Roman"/>
          <w:szCs w:val="32"/>
        </w:rPr>
        <w:t>2</w:t>
      </w:r>
      <w:r>
        <w:rPr>
          <w:rFonts w:ascii="Times New Roman"/>
          <w:szCs w:val="32"/>
        </w:rPr>
        <w:t>分，综合得分</w:t>
      </w:r>
      <w:r>
        <w:rPr>
          <w:rFonts w:hint="eastAsia" w:ascii="Times New Roman"/>
          <w:szCs w:val="32"/>
        </w:rPr>
        <w:t>2</w:t>
      </w:r>
      <w:r>
        <w:rPr>
          <w:rFonts w:ascii="Times New Roman"/>
          <w:szCs w:val="32"/>
        </w:rPr>
        <w:t>分</w:t>
      </w:r>
      <w:r>
        <w:rPr>
          <w:rFonts w:ascii="Times New Roman"/>
        </w:rPr>
        <w:t>。</w:t>
      </w:r>
      <w:bookmarkEnd w:id="8"/>
      <w:bookmarkEnd w:id="13"/>
    </w:p>
    <w:p w14:paraId="79F55EE6">
      <w:pPr>
        <w:pStyle w:val="2"/>
        <w:numPr>
          <w:ilvl w:val="0"/>
          <w:numId w:val="10"/>
        </w:numPr>
        <w:rPr>
          <w:rFonts w:ascii="Times New Roman"/>
          <w:b w:val="0"/>
          <w:bCs/>
        </w:rPr>
      </w:pPr>
      <w:r>
        <w:rPr>
          <w:rFonts w:hint="eastAsia" w:ascii="Times New Roman"/>
          <w:b w:val="0"/>
          <w:bCs/>
        </w:rPr>
        <w:t>人才支撑</w:t>
      </w:r>
    </w:p>
    <w:p w14:paraId="04A45E8F">
      <w:pPr>
        <w:spacing w:line="560" w:lineRule="exact"/>
        <w:ind w:firstLine="632" w:firstLineChars="200"/>
        <w:rPr>
          <w:rFonts w:ascii="Times New Roman"/>
          <w:szCs w:val="32"/>
        </w:rPr>
      </w:pPr>
      <w:r>
        <w:rPr>
          <w:rFonts w:hint="eastAsia" w:ascii="Times New Roman"/>
          <w:szCs w:val="32"/>
        </w:rPr>
        <w:t>本年度业务学习与培训完成计划；人才储备规划符合本单位发展需求；有进行高学历、高层次人才培养及储备。</w:t>
      </w:r>
    </w:p>
    <w:p w14:paraId="24CFCC82">
      <w:pPr>
        <w:spacing w:line="560" w:lineRule="exact"/>
        <w:ind w:firstLine="632" w:firstLineChars="200"/>
        <w:rPr>
          <w:rFonts w:ascii="Times New Roman"/>
        </w:rPr>
      </w:pPr>
      <w:r>
        <w:rPr>
          <w:rFonts w:ascii="Times New Roman"/>
          <w:szCs w:val="32"/>
        </w:rPr>
        <w:t>本项标准分值</w:t>
      </w:r>
      <w:r>
        <w:rPr>
          <w:rFonts w:hint="eastAsia" w:ascii="Times New Roman"/>
          <w:szCs w:val="32"/>
        </w:rPr>
        <w:t>2</w:t>
      </w:r>
      <w:r>
        <w:rPr>
          <w:rFonts w:ascii="Times New Roman"/>
          <w:szCs w:val="32"/>
        </w:rPr>
        <w:t>分，综合得分</w:t>
      </w:r>
      <w:r>
        <w:rPr>
          <w:rFonts w:hint="eastAsia" w:ascii="Times New Roman"/>
          <w:szCs w:val="32"/>
        </w:rPr>
        <w:t>2</w:t>
      </w:r>
      <w:r>
        <w:rPr>
          <w:rFonts w:ascii="Times New Roman"/>
          <w:szCs w:val="32"/>
        </w:rPr>
        <w:t>分</w:t>
      </w:r>
      <w:r>
        <w:rPr>
          <w:rFonts w:ascii="Times New Roman"/>
        </w:rPr>
        <w:t>。</w:t>
      </w:r>
    </w:p>
    <w:p w14:paraId="241F3073">
      <w:pPr>
        <w:numPr>
          <w:ilvl w:val="0"/>
          <w:numId w:val="10"/>
        </w:numPr>
      </w:pPr>
      <w:r>
        <w:rPr>
          <w:rFonts w:hint="eastAsia"/>
        </w:rPr>
        <w:t>科技支撑</w:t>
      </w:r>
    </w:p>
    <w:p w14:paraId="65C9F697">
      <w:pPr>
        <w:ind w:left="630"/>
      </w:pPr>
      <w:r>
        <w:rPr>
          <w:rFonts w:hint="eastAsia"/>
          <w:bCs/>
        </w:rPr>
        <w:t>部门有充分运用信息化手段提升工作效率及管理效能。</w:t>
      </w:r>
    </w:p>
    <w:p w14:paraId="55821C79">
      <w:pPr>
        <w:spacing w:line="560" w:lineRule="exact"/>
        <w:ind w:firstLine="632" w:firstLineChars="200"/>
        <w:rPr>
          <w:rFonts w:ascii="Times New Roman"/>
        </w:rPr>
      </w:pPr>
      <w:r>
        <w:rPr>
          <w:rFonts w:ascii="Times New Roman"/>
          <w:szCs w:val="32"/>
        </w:rPr>
        <w:t>本项标准分值</w:t>
      </w:r>
      <w:r>
        <w:rPr>
          <w:rFonts w:hint="eastAsia" w:ascii="Times New Roman"/>
          <w:szCs w:val="32"/>
        </w:rPr>
        <w:t>2</w:t>
      </w:r>
      <w:r>
        <w:rPr>
          <w:rFonts w:ascii="Times New Roman"/>
          <w:szCs w:val="32"/>
        </w:rPr>
        <w:t>分，综合得分</w:t>
      </w:r>
      <w:r>
        <w:rPr>
          <w:rFonts w:hint="eastAsia" w:ascii="Times New Roman"/>
          <w:szCs w:val="32"/>
        </w:rPr>
        <w:t>2</w:t>
      </w:r>
      <w:r>
        <w:rPr>
          <w:rFonts w:ascii="Times New Roman"/>
          <w:szCs w:val="32"/>
        </w:rPr>
        <w:t>分</w:t>
      </w:r>
      <w:r>
        <w:rPr>
          <w:rFonts w:ascii="Times New Roman"/>
        </w:rPr>
        <w:t>。</w:t>
      </w:r>
    </w:p>
    <w:p w14:paraId="7DB72E2C">
      <w:pPr>
        <w:pStyle w:val="5"/>
        <w:spacing w:line="560" w:lineRule="exact"/>
        <w:ind w:firstLine="633"/>
        <w:rPr>
          <w:rFonts w:ascii="Times New Roman" w:hAnsi="Times New Roman"/>
          <w:sz w:val="32"/>
          <w:szCs w:val="36"/>
        </w:rPr>
      </w:pPr>
      <w:r>
        <w:rPr>
          <w:rFonts w:hint="eastAsia" w:ascii="Times New Roman" w:hAnsi="Times New Roman"/>
          <w:sz w:val="32"/>
          <w:szCs w:val="36"/>
        </w:rPr>
        <w:t>6、满意度应指标完成情况详细分析</w:t>
      </w:r>
    </w:p>
    <w:p w14:paraId="650291C4">
      <w:pPr>
        <w:ind w:firstLine="632" w:firstLineChars="200"/>
      </w:pPr>
      <w:r>
        <w:rPr>
          <w:rFonts w:hint="eastAsia"/>
        </w:rPr>
        <w:t>（1）服务对象满意度</w:t>
      </w:r>
    </w:p>
    <w:p w14:paraId="0CE21738">
      <w:pPr>
        <w:pStyle w:val="2"/>
        <w:spacing w:line="240" w:lineRule="auto"/>
        <w:ind w:firstLine="632" w:firstLineChars="200"/>
        <w:rPr>
          <w:b w:val="0"/>
          <w:bCs/>
        </w:rPr>
      </w:pPr>
      <w:r>
        <w:rPr>
          <w:rFonts w:hint="eastAsia"/>
          <w:b w:val="0"/>
          <w:bCs/>
        </w:rPr>
        <w:t>本次通过问卷调查，接受服务的残疾人或家属满意度为88%。</w:t>
      </w:r>
    </w:p>
    <w:p w14:paraId="39C2E0B0">
      <w:pPr>
        <w:ind w:firstLine="632" w:firstLineChars="200"/>
        <w:rPr>
          <w:rFonts w:ascii="Times New Roman"/>
        </w:rPr>
      </w:pPr>
      <w:r>
        <w:rPr>
          <w:rFonts w:ascii="Times New Roman"/>
          <w:szCs w:val="32"/>
        </w:rPr>
        <w:t>本项标准分值</w:t>
      </w:r>
      <w:r>
        <w:rPr>
          <w:rFonts w:hint="eastAsia" w:ascii="Times New Roman"/>
          <w:szCs w:val="32"/>
        </w:rPr>
        <w:t>2</w:t>
      </w:r>
      <w:r>
        <w:rPr>
          <w:rFonts w:ascii="Times New Roman"/>
          <w:szCs w:val="32"/>
        </w:rPr>
        <w:t>分，综合得分</w:t>
      </w:r>
      <w:r>
        <w:rPr>
          <w:rFonts w:hint="eastAsia" w:ascii="Times New Roman"/>
          <w:szCs w:val="32"/>
        </w:rPr>
        <w:t>1.76</w:t>
      </w:r>
      <w:r>
        <w:rPr>
          <w:rFonts w:ascii="Times New Roman"/>
          <w:szCs w:val="32"/>
        </w:rPr>
        <w:t>分</w:t>
      </w:r>
      <w:r>
        <w:rPr>
          <w:rFonts w:ascii="Times New Roman"/>
        </w:rPr>
        <w:t>。</w:t>
      </w:r>
    </w:p>
    <w:p w14:paraId="512079FC">
      <w:pPr>
        <w:pStyle w:val="2"/>
        <w:numPr>
          <w:ilvl w:val="0"/>
          <w:numId w:val="11"/>
        </w:numPr>
        <w:spacing w:line="240" w:lineRule="auto"/>
        <w:ind w:left="0" w:firstLine="632" w:firstLineChars="200"/>
        <w:rPr>
          <w:b w:val="0"/>
          <w:bCs/>
        </w:rPr>
      </w:pPr>
      <w:r>
        <w:rPr>
          <w:rFonts w:hint="eastAsia"/>
          <w:b w:val="0"/>
          <w:bCs/>
        </w:rPr>
        <w:t>联系部门满意度</w:t>
      </w:r>
    </w:p>
    <w:p w14:paraId="491196FB">
      <w:pPr>
        <w:ind w:firstLine="632" w:firstLineChars="200"/>
        <w:rPr>
          <w:rFonts w:ascii="Times New Roman"/>
          <w:szCs w:val="32"/>
        </w:rPr>
      </w:pPr>
      <w:r>
        <w:rPr>
          <w:rFonts w:hint="eastAsia" w:ascii="Times New Roman"/>
          <w:szCs w:val="32"/>
        </w:rPr>
        <w:t>本次通过问卷调查，其他相关部门的满意度为100%。</w:t>
      </w:r>
    </w:p>
    <w:p w14:paraId="091EAB62">
      <w:pPr>
        <w:ind w:firstLine="632" w:firstLineChars="200"/>
        <w:rPr>
          <w:rFonts w:ascii="Times New Roman"/>
        </w:rPr>
      </w:pPr>
      <w:r>
        <w:rPr>
          <w:rFonts w:ascii="Times New Roman"/>
          <w:szCs w:val="32"/>
        </w:rPr>
        <w:t>本项标准分值</w:t>
      </w:r>
      <w:r>
        <w:rPr>
          <w:rFonts w:hint="eastAsia" w:ascii="Times New Roman"/>
          <w:szCs w:val="32"/>
        </w:rPr>
        <w:t>2</w:t>
      </w:r>
      <w:r>
        <w:rPr>
          <w:rFonts w:ascii="Times New Roman"/>
          <w:szCs w:val="32"/>
        </w:rPr>
        <w:t>分，综合得分</w:t>
      </w:r>
      <w:r>
        <w:rPr>
          <w:rFonts w:hint="eastAsia" w:ascii="Times New Roman"/>
          <w:szCs w:val="32"/>
        </w:rPr>
        <w:t>2</w:t>
      </w:r>
      <w:r>
        <w:rPr>
          <w:rFonts w:ascii="Times New Roman"/>
          <w:szCs w:val="32"/>
        </w:rPr>
        <w:t>分</w:t>
      </w:r>
      <w:r>
        <w:rPr>
          <w:rFonts w:ascii="Times New Roman"/>
        </w:rPr>
        <w:t>。</w:t>
      </w:r>
    </w:p>
    <w:p w14:paraId="3D7E299C">
      <w:pPr>
        <w:pStyle w:val="4"/>
        <w:spacing w:line="560" w:lineRule="exact"/>
        <w:ind w:firstLine="630"/>
        <w:rPr>
          <w:b w:val="0"/>
          <w:bCs w:val="0"/>
          <w:sz w:val="32"/>
        </w:rPr>
      </w:pPr>
      <w:r>
        <w:rPr>
          <w:b w:val="0"/>
          <w:bCs w:val="0"/>
          <w:sz w:val="32"/>
        </w:rPr>
        <w:t>三、原始资料</w:t>
      </w:r>
    </w:p>
    <w:p w14:paraId="2344ABC2">
      <w:pPr>
        <w:spacing w:line="560" w:lineRule="exact"/>
        <w:ind w:firstLine="632" w:firstLineChars="200"/>
        <w:rPr>
          <w:rFonts w:ascii="Times New Roman"/>
          <w:szCs w:val="32"/>
        </w:rPr>
      </w:pPr>
      <w:r>
        <w:rPr>
          <w:rFonts w:ascii="Times New Roman"/>
          <w:szCs w:val="32"/>
        </w:rPr>
        <w:t>附件</w:t>
      </w:r>
      <w:r>
        <w:rPr>
          <w:rFonts w:hint="eastAsia" w:ascii="Times New Roman"/>
          <w:szCs w:val="32"/>
        </w:rPr>
        <w:t>1</w:t>
      </w:r>
      <w:r>
        <w:rPr>
          <w:rFonts w:ascii="Times New Roman"/>
          <w:szCs w:val="32"/>
        </w:rPr>
        <w:t>：指标体系评分表</w:t>
      </w:r>
    </w:p>
    <w:p w14:paraId="36B6FC22">
      <w:pPr>
        <w:spacing w:line="560" w:lineRule="exact"/>
        <w:ind w:firstLine="632" w:firstLineChars="200"/>
        <w:rPr>
          <w:rFonts w:ascii="Times New Roman"/>
          <w:szCs w:val="32"/>
        </w:rPr>
      </w:pPr>
      <w:r>
        <w:rPr>
          <w:rFonts w:ascii="Times New Roman"/>
          <w:szCs w:val="32"/>
        </w:rPr>
        <w:t>附件</w:t>
      </w:r>
      <w:r>
        <w:rPr>
          <w:rFonts w:hint="eastAsia" w:ascii="Times New Roman"/>
          <w:szCs w:val="32"/>
        </w:rPr>
        <w:t>2</w:t>
      </w:r>
      <w:r>
        <w:rPr>
          <w:rFonts w:ascii="Times New Roman"/>
          <w:szCs w:val="32"/>
        </w:rPr>
        <w:t>：绩效目标完成情况对比表</w:t>
      </w:r>
    </w:p>
    <w:p w14:paraId="6BF6B0D7">
      <w:pPr>
        <w:spacing w:line="560" w:lineRule="exact"/>
        <w:ind w:firstLine="632" w:firstLineChars="200"/>
        <w:rPr>
          <w:rFonts w:ascii="Times New Roman"/>
          <w:szCs w:val="32"/>
        </w:rPr>
      </w:pPr>
      <w:r>
        <w:rPr>
          <w:rFonts w:ascii="Times New Roman"/>
          <w:szCs w:val="32"/>
        </w:rPr>
        <w:t>附件</w:t>
      </w:r>
      <w:r>
        <w:rPr>
          <w:rFonts w:hint="eastAsia" w:ascii="Times New Roman"/>
          <w:szCs w:val="32"/>
        </w:rPr>
        <w:t>3</w:t>
      </w:r>
      <w:r>
        <w:rPr>
          <w:rFonts w:ascii="Times New Roman"/>
          <w:szCs w:val="32"/>
        </w:rPr>
        <w:t>：调查问卷</w:t>
      </w:r>
      <w:r>
        <w:rPr>
          <w:rFonts w:hint="eastAsia" w:ascii="Times New Roman"/>
          <w:szCs w:val="32"/>
        </w:rPr>
        <w:t>汇总分析</w:t>
      </w:r>
    </w:p>
    <w:p w14:paraId="466DCD30">
      <w:pPr>
        <w:spacing w:line="560" w:lineRule="exact"/>
        <w:ind w:firstLine="632" w:firstLineChars="200"/>
        <w:rPr>
          <w:rFonts w:ascii="Times New Roman"/>
          <w:szCs w:val="32"/>
        </w:rPr>
      </w:pPr>
    </w:p>
    <w:p w14:paraId="4656704D">
      <w:pPr>
        <w:rPr>
          <w:rFonts w:ascii="Times New Roman"/>
        </w:rPr>
      </w:pPr>
    </w:p>
    <w:p w14:paraId="7247CA6E">
      <w:pPr>
        <w:ind w:firstLine="632" w:firstLineChars="200"/>
        <w:rPr>
          <w:rFonts w:ascii="Times New Roman"/>
        </w:rPr>
      </w:pPr>
    </w:p>
    <w:p w14:paraId="61AB3D11">
      <w:pPr>
        <w:ind w:firstLine="632" w:firstLineChars="200"/>
        <w:jc w:val="right"/>
        <w:rPr>
          <w:rFonts w:ascii="Times New Roman"/>
        </w:rPr>
      </w:pPr>
      <w:r>
        <w:rPr>
          <w:rFonts w:hint="eastAsia" w:ascii="Times New Roman"/>
        </w:rPr>
        <w:t>中达致远房地产资产评估（武汉）有限公司</w:t>
      </w:r>
    </w:p>
    <w:p w14:paraId="6945646D">
      <w:pPr>
        <w:ind w:firstLine="632" w:firstLineChars="200"/>
        <w:jc w:val="right"/>
        <w:rPr>
          <w:rFonts w:ascii="Times New Roman"/>
        </w:rPr>
      </w:pPr>
      <w:r>
        <w:rPr>
          <w:rFonts w:ascii="Times New Roman"/>
        </w:rPr>
        <w:t>202</w:t>
      </w:r>
      <w:r>
        <w:rPr>
          <w:rFonts w:hint="eastAsia" w:ascii="Times New Roman"/>
        </w:rPr>
        <w:t>3</w:t>
      </w:r>
      <w:r>
        <w:rPr>
          <w:rFonts w:ascii="Times New Roman"/>
        </w:rPr>
        <w:t>年</w:t>
      </w:r>
      <w:r>
        <w:rPr>
          <w:rFonts w:hint="eastAsia" w:ascii="Times New Roman"/>
        </w:rPr>
        <w:t>8</w:t>
      </w:r>
      <w:r>
        <w:rPr>
          <w:rFonts w:ascii="Times New Roman"/>
        </w:rPr>
        <w:t>月</w:t>
      </w:r>
      <w:r>
        <w:rPr>
          <w:rFonts w:hint="eastAsia" w:ascii="Times New Roman"/>
        </w:rPr>
        <w:t>29</w:t>
      </w:r>
      <w:r>
        <w:rPr>
          <w:rFonts w:ascii="Times New Roman"/>
        </w:rPr>
        <w:t>日</w:t>
      </w:r>
    </w:p>
    <w:sectPr>
      <w:footerReference r:id="rId3" w:type="default"/>
      <w:pgSz w:w="11906" w:h="16838"/>
      <w:pgMar w:top="2098" w:right="1474" w:bottom="1984" w:left="1588" w:header="851" w:footer="992" w:gutter="0"/>
      <w:pgNumType w:fmt="numberInDash" w:start="1"/>
      <w:cols w:space="0" w:num="1"/>
      <w:docGrid w:type="linesAndChars" w:linePitch="579" w:charSpace="-102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1" w:fontKey="{9828E2DF-0A6F-43B7-B8CE-DF70806A9375}"/>
  </w:font>
  <w:font w:name="Cambria">
    <w:panose1 w:val="02040503050406030204"/>
    <w:charset w:val="00"/>
    <w:family w:val="roman"/>
    <w:pitch w:val="default"/>
    <w:sig w:usb0="E00006FF" w:usb1="420024FF" w:usb2="02000000" w:usb3="00000000" w:csb0="2000019F" w:csb1="00000000"/>
  </w:font>
  <w:font w:name="方正小标宋简体">
    <w:panose1 w:val="02000000000000000000"/>
    <w:charset w:val="86"/>
    <w:family w:val="script"/>
    <w:pitch w:val="default"/>
    <w:sig w:usb0="00000001" w:usb1="08000000" w:usb2="00000000" w:usb3="00000000" w:csb0="00040000" w:csb1="00000000"/>
    <w:embedRegular r:id="rId2" w:fontKey="{655B0E59-E5FB-458E-82EB-7A6E9D601E58}"/>
  </w:font>
  <w:font w:name="Wingdings 2">
    <w:altName w:val="Wingdings"/>
    <w:panose1 w:val="05020102010507070707"/>
    <w:charset w:val="02"/>
    <w:family w:val="roman"/>
    <w:pitch w:val="default"/>
    <w:sig w:usb0="00000000" w:usb1="00000000" w:usb2="00000000" w:usb3="00000000" w:csb0="80000000" w:csb1="00000000"/>
    <w:embedRegular r:id="rId3" w:fontKey="{E95D134F-708E-4F21-A59E-940924B64F1A}"/>
  </w:font>
  <w:font w:name="仿宋">
    <w:panose1 w:val="02010609060101010101"/>
    <w:charset w:val="86"/>
    <w:family w:val="modern"/>
    <w:pitch w:val="default"/>
    <w:sig w:usb0="800002BF" w:usb1="38CF7CFA" w:usb2="00000016" w:usb3="00000000" w:csb0="00040001" w:csb1="00000000"/>
    <w:embedRegular r:id="rId4" w:fontKey="{B8933498-EBC0-43D0-AADC-5E31CC881C59}"/>
  </w:font>
  <w:font w:name="楷体">
    <w:panose1 w:val="02010609060101010101"/>
    <w:charset w:val="86"/>
    <w:family w:val="modern"/>
    <w:pitch w:val="default"/>
    <w:sig w:usb0="800002BF" w:usb1="38CF7CFA" w:usb2="00000016" w:usb3="00000000" w:csb0="00040001" w:csb1="00000000"/>
    <w:embedRegular r:id="rId5" w:fontKey="{CE23E035-47A1-4560-BB99-0836E31512EB}"/>
  </w:font>
  <w:font w:name="微软雅黑">
    <w:panose1 w:val="020B0503020204020204"/>
    <w:charset w:val="86"/>
    <w:family w:val="swiss"/>
    <w:pitch w:val="default"/>
    <w:sig w:usb0="80000287" w:usb1="2ACF3C50" w:usb2="00000016" w:usb3="00000000" w:csb0="0004001F" w:csb1="00000000"/>
    <w:embedRegular r:id="rId6" w:fontKey="{6186D7A9-DAFA-4370-A0F5-01A35D7852FD}"/>
  </w:font>
  <w:font w:name="Kingsoft UE">
    <w:panose1 w:val="02000100010000000000"/>
    <w:charset w:val="00"/>
    <w:family w:val="auto"/>
    <w:pitch w:val="default"/>
    <w:sig w:usb0="00000001" w:usb1="00004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05167131"/>
    </w:sdtPr>
    <w:sdtEndPr>
      <w:rPr>
        <w:sz w:val="28"/>
        <w:szCs w:val="28"/>
      </w:rPr>
    </w:sdtEndPr>
    <w:sdtContent>
      <w:p w14:paraId="641F9055">
        <w:pPr>
          <w:pStyle w:val="9"/>
          <w:jc w:val="center"/>
          <w:rPr>
            <w:sz w:val="28"/>
            <w:szCs w:val="28"/>
          </w:rPr>
        </w:pPr>
        <w:r>
          <w:rPr>
            <w:sz w:val="28"/>
            <w:szCs w:val="28"/>
          </w:rPr>
          <w:fldChar w:fldCharType="begin"/>
        </w:r>
        <w:r>
          <w:rPr>
            <w:sz w:val="28"/>
            <w:szCs w:val="28"/>
          </w:rPr>
          <w:instrText xml:space="preserve">PAGE   \* MERGEFORMAT</w:instrText>
        </w:r>
        <w:r>
          <w:rPr>
            <w:sz w:val="28"/>
            <w:szCs w:val="28"/>
          </w:rPr>
          <w:fldChar w:fldCharType="separate"/>
        </w:r>
        <w:r>
          <w:rPr>
            <w:sz w:val="28"/>
            <w:szCs w:val="28"/>
            <w:lang w:val="zh-CN"/>
          </w:rPr>
          <w:t>2</w:t>
        </w:r>
        <w:r>
          <w:rPr>
            <w:sz w:val="28"/>
            <w:szCs w:val="28"/>
          </w:rPr>
          <w:fldChar w:fldCharType="end"/>
        </w:r>
      </w:p>
    </w:sdtContent>
  </w:sdt>
  <w:p w14:paraId="6A463A8F">
    <w:pPr>
      <w:pStyle w:val="9"/>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F1E5740"/>
    <w:multiLevelType w:val="singleLevel"/>
    <w:tmpl w:val="8F1E5740"/>
    <w:lvl w:ilvl="0" w:tentative="0">
      <w:start w:val="1"/>
      <w:numFmt w:val="decimal"/>
      <w:suff w:val="nothing"/>
      <w:lvlText w:val="（%1）"/>
      <w:lvlJc w:val="left"/>
    </w:lvl>
  </w:abstractNum>
  <w:abstractNum w:abstractNumId="1">
    <w:nsid w:val="9253EA3C"/>
    <w:multiLevelType w:val="singleLevel"/>
    <w:tmpl w:val="9253EA3C"/>
    <w:lvl w:ilvl="0" w:tentative="0">
      <w:start w:val="1"/>
      <w:numFmt w:val="decimal"/>
      <w:suff w:val="nothing"/>
      <w:lvlText w:val="（%1）"/>
      <w:lvlJc w:val="left"/>
    </w:lvl>
  </w:abstractNum>
  <w:abstractNum w:abstractNumId="2">
    <w:nsid w:val="B6A09255"/>
    <w:multiLevelType w:val="singleLevel"/>
    <w:tmpl w:val="B6A09255"/>
    <w:lvl w:ilvl="0" w:tentative="0">
      <w:start w:val="2"/>
      <w:numFmt w:val="decimal"/>
      <w:suff w:val="nothing"/>
      <w:lvlText w:val="（%1）"/>
      <w:lvlJc w:val="left"/>
      <w:pPr>
        <w:ind w:left="632" w:firstLine="0"/>
      </w:pPr>
    </w:lvl>
  </w:abstractNum>
  <w:abstractNum w:abstractNumId="3">
    <w:nsid w:val="BB07E970"/>
    <w:multiLevelType w:val="singleLevel"/>
    <w:tmpl w:val="BB07E970"/>
    <w:lvl w:ilvl="0" w:tentative="0">
      <w:start w:val="2"/>
      <w:numFmt w:val="decimal"/>
      <w:suff w:val="nothing"/>
      <w:lvlText w:val="（%1）"/>
      <w:lvlJc w:val="left"/>
    </w:lvl>
  </w:abstractNum>
  <w:abstractNum w:abstractNumId="4">
    <w:nsid w:val="C42DA300"/>
    <w:multiLevelType w:val="singleLevel"/>
    <w:tmpl w:val="C42DA300"/>
    <w:lvl w:ilvl="0" w:tentative="0">
      <w:start w:val="2"/>
      <w:numFmt w:val="decimal"/>
      <w:suff w:val="nothing"/>
      <w:lvlText w:val="（%1）"/>
      <w:lvlJc w:val="left"/>
    </w:lvl>
  </w:abstractNum>
  <w:abstractNum w:abstractNumId="5">
    <w:nsid w:val="C9D4CE26"/>
    <w:multiLevelType w:val="singleLevel"/>
    <w:tmpl w:val="C9D4CE26"/>
    <w:lvl w:ilvl="0" w:tentative="0">
      <w:start w:val="1"/>
      <w:numFmt w:val="decimal"/>
      <w:suff w:val="nothing"/>
      <w:lvlText w:val="（%1）"/>
      <w:lvlJc w:val="left"/>
    </w:lvl>
  </w:abstractNum>
  <w:abstractNum w:abstractNumId="6">
    <w:nsid w:val="EDB1C93C"/>
    <w:multiLevelType w:val="singleLevel"/>
    <w:tmpl w:val="EDB1C93C"/>
    <w:lvl w:ilvl="0" w:tentative="0">
      <w:start w:val="1"/>
      <w:numFmt w:val="decimal"/>
      <w:suff w:val="nothing"/>
      <w:lvlText w:val="%1、"/>
      <w:lvlJc w:val="left"/>
    </w:lvl>
  </w:abstractNum>
  <w:abstractNum w:abstractNumId="7">
    <w:nsid w:val="3EE8CD4A"/>
    <w:multiLevelType w:val="singleLevel"/>
    <w:tmpl w:val="3EE8CD4A"/>
    <w:lvl w:ilvl="0" w:tentative="0">
      <w:start w:val="2"/>
      <w:numFmt w:val="decimal"/>
      <w:suff w:val="nothing"/>
      <w:lvlText w:val="%1、"/>
      <w:lvlJc w:val="left"/>
    </w:lvl>
  </w:abstractNum>
  <w:abstractNum w:abstractNumId="8">
    <w:nsid w:val="4E0DFF4B"/>
    <w:multiLevelType w:val="singleLevel"/>
    <w:tmpl w:val="4E0DFF4B"/>
    <w:lvl w:ilvl="0" w:tentative="0">
      <w:start w:val="5"/>
      <w:numFmt w:val="decimal"/>
      <w:suff w:val="nothing"/>
      <w:lvlText w:val="%1、"/>
      <w:lvlJc w:val="left"/>
    </w:lvl>
  </w:abstractNum>
  <w:abstractNum w:abstractNumId="9">
    <w:nsid w:val="62DAFBE5"/>
    <w:multiLevelType w:val="singleLevel"/>
    <w:tmpl w:val="62DAFBE5"/>
    <w:lvl w:ilvl="0" w:tentative="0">
      <w:start w:val="2"/>
      <w:numFmt w:val="decimal"/>
      <w:suff w:val="nothing"/>
      <w:lvlText w:val="（%1）"/>
      <w:lvlJc w:val="left"/>
      <w:pPr>
        <w:ind w:left="630" w:firstLine="0"/>
      </w:pPr>
    </w:lvl>
  </w:abstractNum>
  <w:abstractNum w:abstractNumId="10">
    <w:nsid w:val="7999369E"/>
    <w:multiLevelType w:val="singleLevel"/>
    <w:tmpl w:val="7999369E"/>
    <w:lvl w:ilvl="0" w:tentative="0">
      <w:start w:val="1"/>
      <w:numFmt w:val="decimal"/>
      <w:suff w:val="nothing"/>
      <w:lvlText w:val="（%1）"/>
      <w:lvlJc w:val="left"/>
    </w:lvl>
  </w:abstractNum>
  <w:num w:numId="1">
    <w:abstractNumId w:val="8"/>
  </w:num>
  <w:num w:numId="2">
    <w:abstractNumId w:val="6"/>
  </w:num>
  <w:num w:numId="3">
    <w:abstractNumId w:val="0"/>
  </w:num>
  <w:num w:numId="4">
    <w:abstractNumId w:val="1"/>
  </w:num>
  <w:num w:numId="5">
    <w:abstractNumId w:val="7"/>
  </w:num>
  <w:num w:numId="6">
    <w:abstractNumId w:val="10"/>
  </w:num>
  <w:num w:numId="7">
    <w:abstractNumId w:val="5"/>
  </w:num>
  <w:num w:numId="8">
    <w:abstractNumId w:val="3"/>
  </w:num>
  <w:num w:numId="9">
    <w:abstractNumId w:val="4"/>
  </w:num>
  <w:num w:numId="10">
    <w:abstractNumId w:val="9"/>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YwYjIzNmRiNTVkYTFkZDBmNThmNGQ5ZGM1ZTkyMzcifQ=="/>
  </w:docVars>
  <w:rsids>
    <w:rsidRoot w:val="00FE2BD0"/>
    <w:rsid w:val="00000C27"/>
    <w:rsid w:val="00002621"/>
    <w:rsid w:val="00002A08"/>
    <w:rsid w:val="00004665"/>
    <w:rsid w:val="00004AD7"/>
    <w:rsid w:val="00004DBC"/>
    <w:rsid w:val="00006600"/>
    <w:rsid w:val="00007EF0"/>
    <w:rsid w:val="0001033C"/>
    <w:rsid w:val="0001091C"/>
    <w:rsid w:val="00010FE6"/>
    <w:rsid w:val="000122CD"/>
    <w:rsid w:val="00012B5D"/>
    <w:rsid w:val="00013117"/>
    <w:rsid w:val="00013863"/>
    <w:rsid w:val="0001396E"/>
    <w:rsid w:val="00014642"/>
    <w:rsid w:val="00014BE7"/>
    <w:rsid w:val="00015424"/>
    <w:rsid w:val="00016054"/>
    <w:rsid w:val="000175B3"/>
    <w:rsid w:val="00017D60"/>
    <w:rsid w:val="000234F3"/>
    <w:rsid w:val="00023F98"/>
    <w:rsid w:val="000240F5"/>
    <w:rsid w:val="00024A8E"/>
    <w:rsid w:val="00025301"/>
    <w:rsid w:val="00026993"/>
    <w:rsid w:val="00026A60"/>
    <w:rsid w:val="00027012"/>
    <w:rsid w:val="000278F4"/>
    <w:rsid w:val="00030554"/>
    <w:rsid w:val="0003064C"/>
    <w:rsid w:val="00031E6F"/>
    <w:rsid w:val="0003271F"/>
    <w:rsid w:val="000327C3"/>
    <w:rsid w:val="00033039"/>
    <w:rsid w:val="00033132"/>
    <w:rsid w:val="0003315D"/>
    <w:rsid w:val="00033C30"/>
    <w:rsid w:val="00033D34"/>
    <w:rsid w:val="00034506"/>
    <w:rsid w:val="0003470E"/>
    <w:rsid w:val="000351D9"/>
    <w:rsid w:val="00036BF6"/>
    <w:rsid w:val="000376FF"/>
    <w:rsid w:val="00037D39"/>
    <w:rsid w:val="0004119B"/>
    <w:rsid w:val="000418B0"/>
    <w:rsid w:val="00041ED8"/>
    <w:rsid w:val="00042FEA"/>
    <w:rsid w:val="00043792"/>
    <w:rsid w:val="00045DEB"/>
    <w:rsid w:val="000467E3"/>
    <w:rsid w:val="00050520"/>
    <w:rsid w:val="00051D5A"/>
    <w:rsid w:val="00052781"/>
    <w:rsid w:val="00052D20"/>
    <w:rsid w:val="00053A9D"/>
    <w:rsid w:val="00053E18"/>
    <w:rsid w:val="0005571C"/>
    <w:rsid w:val="00060E4B"/>
    <w:rsid w:val="000618F6"/>
    <w:rsid w:val="00062066"/>
    <w:rsid w:val="00062478"/>
    <w:rsid w:val="00063D41"/>
    <w:rsid w:val="00063D8B"/>
    <w:rsid w:val="0006499E"/>
    <w:rsid w:val="00065730"/>
    <w:rsid w:val="000674F2"/>
    <w:rsid w:val="00070C8E"/>
    <w:rsid w:val="00071AC6"/>
    <w:rsid w:val="0007232D"/>
    <w:rsid w:val="00072E98"/>
    <w:rsid w:val="000744FB"/>
    <w:rsid w:val="00076917"/>
    <w:rsid w:val="00076E23"/>
    <w:rsid w:val="000771EB"/>
    <w:rsid w:val="00077CEB"/>
    <w:rsid w:val="00081DB0"/>
    <w:rsid w:val="0008244F"/>
    <w:rsid w:val="00083014"/>
    <w:rsid w:val="00083067"/>
    <w:rsid w:val="0008430C"/>
    <w:rsid w:val="00084C1A"/>
    <w:rsid w:val="000862F5"/>
    <w:rsid w:val="000907AC"/>
    <w:rsid w:val="00091865"/>
    <w:rsid w:val="0009263B"/>
    <w:rsid w:val="00092F92"/>
    <w:rsid w:val="00094DF2"/>
    <w:rsid w:val="00095725"/>
    <w:rsid w:val="00095C22"/>
    <w:rsid w:val="00096785"/>
    <w:rsid w:val="00097694"/>
    <w:rsid w:val="00097CC4"/>
    <w:rsid w:val="000A0386"/>
    <w:rsid w:val="000A074E"/>
    <w:rsid w:val="000A191C"/>
    <w:rsid w:val="000A2398"/>
    <w:rsid w:val="000A30CE"/>
    <w:rsid w:val="000A41D7"/>
    <w:rsid w:val="000A4B07"/>
    <w:rsid w:val="000A52F0"/>
    <w:rsid w:val="000A64B3"/>
    <w:rsid w:val="000A6674"/>
    <w:rsid w:val="000B00C3"/>
    <w:rsid w:val="000B0F9E"/>
    <w:rsid w:val="000B102B"/>
    <w:rsid w:val="000B134A"/>
    <w:rsid w:val="000B18F2"/>
    <w:rsid w:val="000B20BB"/>
    <w:rsid w:val="000B25EB"/>
    <w:rsid w:val="000B2621"/>
    <w:rsid w:val="000B2AE7"/>
    <w:rsid w:val="000B31DD"/>
    <w:rsid w:val="000B42DC"/>
    <w:rsid w:val="000B4CAD"/>
    <w:rsid w:val="000B4DE9"/>
    <w:rsid w:val="000B5EA4"/>
    <w:rsid w:val="000C02F5"/>
    <w:rsid w:val="000C0343"/>
    <w:rsid w:val="000C13DA"/>
    <w:rsid w:val="000C3790"/>
    <w:rsid w:val="000C4E7A"/>
    <w:rsid w:val="000C52EE"/>
    <w:rsid w:val="000C5435"/>
    <w:rsid w:val="000C58BB"/>
    <w:rsid w:val="000C58F6"/>
    <w:rsid w:val="000C636A"/>
    <w:rsid w:val="000D15EC"/>
    <w:rsid w:val="000D1764"/>
    <w:rsid w:val="000D17ED"/>
    <w:rsid w:val="000D1ADD"/>
    <w:rsid w:val="000D2488"/>
    <w:rsid w:val="000D2FA8"/>
    <w:rsid w:val="000D31A5"/>
    <w:rsid w:val="000D34B0"/>
    <w:rsid w:val="000D35A6"/>
    <w:rsid w:val="000D39C4"/>
    <w:rsid w:val="000D3F8D"/>
    <w:rsid w:val="000D5A29"/>
    <w:rsid w:val="000D5AA2"/>
    <w:rsid w:val="000D5CA1"/>
    <w:rsid w:val="000D6066"/>
    <w:rsid w:val="000D6487"/>
    <w:rsid w:val="000D72E3"/>
    <w:rsid w:val="000D7B4A"/>
    <w:rsid w:val="000D7D46"/>
    <w:rsid w:val="000E172A"/>
    <w:rsid w:val="000E3ED9"/>
    <w:rsid w:val="000E3EF0"/>
    <w:rsid w:val="000E4021"/>
    <w:rsid w:val="000E415F"/>
    <w:rsid w:val="000E4BB6"/>
    <w:rsid w:val="000E5296"/>
    <w:rsid w:val="000E5678"/>
    <w:rsid w:val="000E60F6"/>
    <w:rsid w:val="000F1275"/>
    <w:rsid w:val="000F12E7"/>
    <w:rsid w:val="000F13E3"/>
    <w:rsid w:val="000F4801"/>
    <w:rsid w:val="000F6E50"/>
    <w:rsid w:val="001000CC"/>
    <w:rsid w:val="001025B9"/>
    <w:rsid w:val="00104AF4"/>
    <w:rsid w:val="00105089"/>
    <w:rsid w:val="001055C3"/>
    <w:rsid w:val="00105ED9"/>
    <w:rsid w:val="001068D2"/>
    <w:rsid w:val="00110189"/>
    <w:rsid w:val="00111D83"/>
    <w:rsid w:val="00111F9B"/>
    <w:rsid w:val="0011334E"/>
    <w:rsid w:val="001144E6"/>
    <w:rsid w:val="0011576B"/>
    <w:rsid w:val="00115840"/>
    <w:rsid w:val="00115EAD"/>
    <w:rsid w:val="0011628D"/>
    <w:rsid w:val="001219DE"/>
    <w:rsid w:val="001223B4"/>
    <w:rsid w:val="00122766"/>
    <w:rsid w:val="001227D4"/>
    <w:rsid w:val="00122B67"/>
    <w:rsid w:val="001230CA"/>
    <w:rsid w:val="00123B62"/>
    <w:rsid w:val="00123C9F"/>
    <w:rsid w:val="00123DFA"/>
    <w:rsid w:val="00126714"/>
    <w:rsid w:val="0013011C"/>
    <w:rsid w:val="00130894"/>
    <w:rsid w:val="001312D6"/>
    <w:rsid w:val="00131F0C"/>
    <w:rsid w:val="0013239A"/>
    <w:rsid w:val="00132D96"/>
    <w:rsid w:val="0013450F"/>
    <w:rsid w:val="001359E4"/>
    <w:rsid w:val="00135B88"/>
    <w:rsid w:val="00136B3B"/>
    <w:rsid w:val="00136B76"/>
    <w:rsid w:val="00137102"/>
    <w:rsid w:val="00141043"/>
    <w:rsid w:val="00141B21"/>
    <w:rsid w:val="001426DD"/>
    <w:rsid w:val="00142785"/>
    <w:rsid w:val="0014291D"/>
    <w:rsid w:val="001434FF"/>
    <w:rsid w:val="001440C0"/>
    <w:rsid w:val="0014419F"/>
    <w:rsid w:val="00144524"/>
    <w:rsid w:val="00144608"/>
    <w:rsid w:val="00144688"/>
    <w:rsid w:val="00144DB8"/>
    <w:rsid w:val="00145256"/>
    <w:rsid w:val="001464F8"/>
    <w:rsid w:val="00146CB0"/>
    <w:rsid w:val="00147758"/>
    <w:rsid w:val="00147F96"/>
    <w:rsid w:val="00150220"/>
    <w:rsid w:val="00152C5F"/>
    <w:rsid w:val="00153424"/>
    <w:rsid w:val="00153CF5"/>
    <w:rsid w:val="001560A2"/>
    <w:rsid w:val="00156980"/>
    <w:rsid w:val="00157B00"/>
    <w:rsid w:val="00157BE3"/>
    <w:rsid w:val="001616BF"/>
    <w:rsid w:val="00161887"/>
    <w:rsid w:val="001619E5"/>
    <w:rsid w:val="001628F8"/>
    <w:rsid w:val="00163CDD"/>
    <w:rsid w:val="00164B1D"/>
    <w:rsid w:val="00164FC5"/>
    <w:rsid w:val="0016509F"/>
    <w:rsid w:val="00165744"/>
    <w:rsid w:val="00165808"/>
    <w:rsid w:val="00165AD1"/>
    <w:rsid w:val="00167131"/>
    <w:rsid w:val="0016738F"/>
    <w:rsid w:val="00167610"/>
    <w:rsid w:val="0016767E"/>
    <w:rsid w:val="001676D6"/>
    <w:rsid w:val="00167F77"/>
    <w:rsid w:val="001708F7"/>
    <w:rsid w:val="0017092A"/>
    <w:rsid w:val="00171DEB"/>
    <w:rsid w:val="00173431"/>
    <w:rsid w:val="001734EC"/>
    <w:rsid w:val="001737C3"/>
    <w:rsid w:val="00173D6E"/>
    <w:rsid w:val="00175CD0"/>
    <w:rsid w:val="00176BCA"/>
    <w:rsid w:val="001777CE"/>
    <w:rsid w:val="00177AF0"/>
    <w:rsid w:val="00177EC8"/>
    <w:rsid w:val="00177F67"/>
    <w:rsid w:val="001800E3"/>
    <w:rsid w:val="001809C7"/>
    <w:rsid w:val="00180DA7"/>
    <w:rsid w:val="00180E39"/>
    <w:rsid w:val="00181220"/>
    <w:rsid w:val="00181762"/>
    <w:rsid w:val="001818DA"/>
    <w:rsid w:val="001834E5"/>
    <w:rsid w:val="0018478D"/>
    <w:rsid w:val="00184BF7"/>
    <w:rsid w:val="001879B7"/>
    <w:rsid w:val="00191390"/>
    <w:rsid w:val="001915B7"/>
    <w:rsid w:val="001920EF"/>
    <w:rsid w:val="00192AE4"/>
    <w:rsid w:val="001938C5"/>
    <w:rsid w:val="001939E8"/>
    <w:rsid w:val="0019432E"/>
    <w:rsid w:val="00194D86"/>
    <w:rsid w:val="001964EA"/>
    <w:rsid w:val="001965BE"/>
    <w:rsid w:val="00196700"/>
    <w:rsid w:val="00196DEA"/>
    <w:rsid w:val="001972AE"/>
    <w:rsid w:val="00197D09"/>
    <w:rsid w:val="00197DB8"/>
    <w:rsid w:val="001A04CD"/>
    <w:rsid w:val="001A07DC"/>
    <w:rsid w:val="001A27DF"/>
    <w:rsid w:val="001A2F84"/>
    <w:rsid w:val="001A43ED"/>
    <w:rsid w:val="001A4789"/>
    <w:rsid w:val="001A4B2A"/>
    <w:rsid w:val="001A4CD8"/>
    <w:rsid w:val="001A50B1"/>
    <w:rsid w:val="001A620A"/>
    <w:rsid w:val="001A7035"/>
    <w:rsid w:val="001A71FC"/>
    <w:rsid w:val="001B0479"/>
    <w:rsid w:val="001B0612"/>
    <w:rsid w:val="001B073D"/>
    <w:rsid w:val="001B143B"/>
    <w:rsid w:val="001B2A34"/>
    <w:rsid w:val="001B2C0C"/>
    <w:rsid w:val="001B3E96"/>
    <w:rsid w:val="001B65C2"/>
    <w:rsid w:val="001B6B60"/>
    <w:rsid w:val="001B6F1C"/>
    <w:rsid w:val="001B73AD"/>
    <w:rsid w:val="001B7681"/>
    <w:rsid w:val="001B7D1A"/>
    <w:rsid w:val="001B7E2B"/>
    <w:rsid w:val="001C1CB8"/>
    <w:rsid w:val="001C22C4"/>
    <w:rsid w:val="001C2525"/>
    <w:rsid w:val="001C25E6"/>
    <w:rsid w:val="001C7493"/>
    <w:rsid w:val="001D03E4"/>
    <w:rsid w:val="001D140B"/>
    <w:rsid w:val="001D1769"/>
    <w:rsid w:val="001D42FA"/>
    <w:rsid w:val="001D6350"/>
    <w:rsid w:val="001D7B77"/>
    <w:rsid w:val="001D7BD8"/>
    <w:rsid w:val="001D7C2C"/>
    <w:rsid w:val="001E0C41"/>
    <w:rsid w:val="001E1F2C"/>
    <w:rsid w:val="001E2AC5"/>
    <w:rsid w:val="001E31CC"/>
    <w:rsid w:val="001E349C"/>
    <w:rsid w:val="001E3A41"/>
    <w:rsid w:val="001E4568"/>
    <w:rsid w:val="001E5613"/>
    <w:rsid w:val="001E6710"/>
    <w:rsid w:val="001E6B03"/>
    <w:rsid w:val="001E7427"/>
    <w:rsid w:val="001E7D29"/>
    <w:rsid w:val="001F0B27"/>
    <w:rsid w:val="001F1962"/>
    <w:rsid w:val="001F2686"/>
    <w:rsid w:val="001F311D"/>
    <w:rsid w:val="001F3ACD"/>
    <w:rsid w:val="001F446C"/>
    <w:rsid w:val="001F4A60"/>
    <w:rsid w:val="001F4AB7"/>
    <w:rsid w:val="001F57B9"/>
    <w:rsid w:val="001F5B0E"/>
    <w:rsid w:val="001F5EFA"/>
    <w:rsid w:val="00200101"/>
    <w:rsid w:val="00200441"/>
    <w:rsid w:val="00200620"/>
    <w:rsid w:val="00200FCD"/>
    <w:rsid w:val="00201A20"/>
    <w:rsid w:val="00202C04"/>
    <w:rsid w:val="00203AA8"/>
    <w:rsid w:val="00203CF3"/>
    <w:rsid w:val="00207091"/>
    <w:rsid w:val="00210820"/>
    <w:rsid w:val="00212FF4"/>
    <w:rsid w:val="002135FB"/>
    <w:rsid w:val="00214DC4"/>
    <w:rsid w:val="00214FB1"/>
    <w:rsid w:val="00220BF3"/>
    <w:rsid w:val="00221D60"/>
    <w:rsid w:val="00222B76"/>
    <w:rsid w:val="00222BD4"/>
    <w:rsid w:val="0022601E"/>
    <w:rsid w:val="002262F5"/>
    <w:rsid w:val="0022677D"/>
    <w:rsid w:val="00227345"/>
    <w:rsid w:val="00232343"/>
    <w:rsid w:val="002329A4"/>
    <w:rsid w:val="00233648"/>
    <w:rsid w:val="00233719"/>
    <w:rsid w:val="002337E4"/>
    <w:rsid w:val="00234F9F"/>
    <w:rsid w:val="002350C6"/>
    <w:rsid w:val="002354E2"/>
    <w:rsid w:val="00241C36"/>
    <w:rsid w:val="002439FF"/>
    <w:rsid w:val="00244435"/>
    <w:rsid w:val="00244478"/>
    <w:rsid w:val="00244ADD"/>
    <w:rsid w:val="00246B23"/>
    <w:rsid w:val="002471AC"/>
    <w:rsid w:val="002475BD"/>
    <w:rsid w:val="002477EA"/>
    <w:rsid w:val="00251448"/>
    <w:rsid w:val="0025183B"/>
    <w:rsid w:val="00251D6E"/>
    <w:rsid w:val="00252B93"/>
    <w:rsid w:val="002532F1"/>
    <w:rsid w:val="002535E9"/>
    <w:rsid w:val="00254C88"/>
    <w:rsid w:val="00257224"/>
    <w:rsid w:val="00257846"/>
    <w:rsid w:val="0026049D"/>
    <w:rsid w:val="0026080E"/>
    <w:rsid w:val="00260E9F"/>
    <w:rsid w:val="0026181F"/>
    <w:rsid w:val="002624AB"/>
    <w:rsid w:val="002625CE"/>
    <w:rsid w:val="00262F2F"/>
    <w:rsid w:val="0026358E"/>
    <w:rsid w:val="002636B9"/>
    <w:rsid w:val="00264E7D"/>
    <w:rsid w:val="002664EA"/>
    <w:rsid w:val="00266547"/>
    <w:rsid w:val="002666BC"/>
    <w:rsid w:val="00266DB5"/>
    <w:rsid w:val="00266F31"/>
    <w:rsid w:val="00270D1B"/>
    <w:rsid w:val="002728AC"/>
    <w:rsid w:val="00274484"/>
    <w:rsid w:val="00276803"/>
    <w:rsid w:val="00277BFC"/>
    <w:rsid w:val="00281578"/>
    <w:rsid w:val="00283025"/>
    <w:rsid w:val="0028474A"/>
    <w:rsid w:val="00286016"/>
    <w:rsid w:val="00286C3A"/>
    <w:rsid w:val="00290439"/>
    <w:rsid w:val="00290CD9"/>
    <w:rsid w:val="0029143A"/>
    <w:rsid w:val="00291C56"/>
    <w:rsid w:val="00292967"/>
    <w:rsid w:val="00292A77"/>
    <w:rsid w:val="00293107"/>
    <w:rsid w:val="00293BF7"/>
    <w:rsid w:val="00294182"/>
    <w:rsid w:val="002941DE"/>
    <w:rsid w:val="002947BE"/>
    <w:rsid w:val="002950BB"/>
    <w:rsid w:val="0029580E"/>
    <w:rsid w:val="00296E2A"/>
    <w:rsid w:val="002A0413"/>
    <w:rsid w:val="002A077F"/>
    <w:rsid w:val="002A2F28"/>
    <w:rsid w:val="002A4B1E"/>
    <w:rsid w:val="002A51B1"/>
    <w:rsid w:val="002A51E7"/>
    <w:rsid w:val="002A716C"/>
    <w:rsid w:val="002A7DA6"/>
    <w:rsid w:val="002A7F46"/>
    <w:rsid w:val="002A7FBE"/>
    <w:rsid w:val="002B07A6"/>
    <w:rsid w:val="002B0A91"/>
    <w:rsid w:val="002B1479"/>
    <w:rsid w:val="002B1F6E"/>
    <w:rsid w:val="002B2631"/>
    <w:rsid w:val="002B2C0B"/>
    <w:rsid w:val="002B320B"/>
    <w:rsid w:val="002B4B72"/>
    <w:rsid w:val="002B72CD"/>
    <w:rsid w:val="002B7B95"/>
    <w:rsid w:val="002C0CC4"/>
    <w:rsid w:val="002C204B"/>
    <w:rsid w:val="002C2E87"/>
    <w:rsid w:val="002C3AEB"/>
    <w:rsid w:val="002C3FC9"/>
    <w:rsid w:val="002C545D"/>
    <w:rsid w:val="002C7FD7"/>
    <w:rsid w:val="002D0212"/>
    <w:rsid w:val="002D05D9"/>
    <w:rsid w:val="002D0C74"/>
    <w:rsid w:val="002D13B5"/>
    <w:rsid w:val="002D17D9"/>
    <w:rsid w:val="002D1D16"/>
    <w:rsid w:val="002D2C21"/>
    <w:rsid w:val="002D3331"/>
    <w:rsid w:val="002D34AC"/>
    <w:rsid w:val="002D40C1"/>
    <w:rsid w:val="002D43EE"/>
    <w:rsid w:val="002D44B4"/>
    <w:rsid w:val="002D4C8D"/>
    <w:rsid w:val="002D4E4C"/>
    <w:rsid w:val="002D570F"/>
    <w:rsid w:val="002D5CBD"/>
    <w:rsid w:val="002D5F8B"/>
    <w:rsid w:val="002D7166"/>
    <w:rsid w:val="002D7AE8"/>
    <w:rsid w:val="002D7B48"/>
    <w:rsid w:val="002E092A"/>
    <w:rsid w:val="002E0AB3"/>
    <w:rsid w:val="002E2238"/>
    <w:rsid w:val="002E2C13"/>
    <w:rsid w:val="002E2FF5"/>
    <w:rsid w:val="002E4230"/>
    <w:rsid w:val="002E4DB8"/>
    <w:rsid w:val="002E5604"/>
    <w:rsid w:val="002E5FCD"/>
    <w:rsid w:val="002E60E9"/>
    <w:rsid w:val="002E6CF7"/>
    <w:rsid w:val="002F1543"/>
    <w:rsid w:val="002F201E"/>
    <w:rsid w:val="002F269F"/>
    <w:rsid w:val="002F3082"/>
    <w:rsid w:val="002F3146"/>
    <w:rsid w:val="002F373A"/>
    <w:rsid w:val="002F47F4"/>
    <w:rsid w:val="002F5F54"/>
    <w:rsid w:val="002F6E75"/>
    <w:rsid w:val="0030035D"/>
    <w:rsid w:val="00300683"/>
    <w:rsid w:val="00303DDA"/>
    <w:rsid w:val="00304277"/>
    <w:rsid w:val="00304B28"/>
    <w:rsid w:val="00304F31"/>
    <w:rsid w:val="003052F5"/>
    <w:rsid w:val="00306676"/>
    <w:rsid w:val="00306B06"/>
    <w:rsid w:val="00310473"/>
    <w:rsid w:val="003113AB"/>
    <w:rsid w:val="00311401"/>
    <w:rsid w:val="0031242F"/>
    <w:rsid w:val="00312B17"/>
    <w:rsid w:val="00313C96"/>
    <w:rsid w:val="003146E1"/>
    <w:rsid w:val="0031484A"/>
    <w:rsid w:val="003151BC"/>
    <w:rsid w:val="00315838"/>
    <w:rsid w:val="00316507"/>
    <w:rsid w:val="00316568"/>
    <w:rsid w:val="003200F4"/>
    <w:rsid w:val="0032065C"/>
    <w:rsid w:val="00321348"/>
    <w:rsid w:val="003218F6"/>
    <w:rsid w:val="00321997"/>
    <w:rsid w:val="003229DE"/>
    <w:rsid w:val="00323A64"/>
    <w:rsid w:val="00323ED7"/>
    <w:rsid w:val="003258FC"/>
    <w:rsid w:val="00325AC6"/>
    <w:rsid w:val="00325CBC"/>
    <w:rsid w:val="00325D2B"/>
    <w:rsid w:val="00326AFB"/>
    <w:rsid w:val="00326EE5"/>
    <w:rsid w:val="0032780E"/>
    <w:rsid w:val="00327FE3"/>
    <w:rsid w:val="003304F9"/>
    <w:rsid w:val="0033058B"/>
    <w:rsid w:val="00331EAD"/>
    <w:rsid w:val="0033206E"/>
    <w:rsid w:val="00332A89"/>
    <w:rsid w:val="003336D4"/>
    <w:rsid w:val="00333A02"/>
    <w:rsid w:val="00334427"/>
    <w:rsid w:val="003345DB"/>
    <w:rsid w:val="0033605E"/>
    <w:rsid w:val="0033611C"/>
    <w:rsid w:val="00337041"/>
    <w:rsid w:val="00337570"/>
    <w:rsid w:val="00337C24"/>
    <w:rsid w:val="00340A7D"/>
    <w:rsid w:val="00341740"/>
    <w:rsid w:val="00342643"/>
    <w:rsid w:val="00342C75"/>
    <w:rsid w:val="00344254"/>
    <w:rsid w:val="003442E2"/>
    <w:rsid w:val="00344F63"/>
    <w:rsid w:val="00345002"/>
    <w:rsid w:val="0034545D"/>
    <w:rsid w:val="00346C92"/>
    <w:rsid w:val="00347334"/>
    <w:rsid w:val="00347F61"/>
    <w:rsid w:val="003500AD"/>
    <w:rsid w:val="003506C7"/>
    <w:rsid w:val="003508E1"/>
    <w:rsid w:val="00350A68"/>
    <w:rsid w:val="00351D43"/>
    <w:rsid w:val="003521C8"/>
    <w:rsid w:val="00352796"/>
    <w:rsid w:val="00352B53"/>
    <w:rsid w:val="003536C0"/>
    <w:rsid w:val="00353CD6"/>
    <w:rsid w:val="003545F2"/>
    <w:rsid w:val="00355891"/>
    <w:rsid w:val="00355924"/>
    <w:rsid w:val="003562F4"/>
    <w:rsid w:val="00356556"/>
    <w:rsid w:val="0035666E"/>
    <w:rsid w:val="0036100E"/>
    <w:rsid w:val="0036196D"/>
    <w:rsid w:val="003621A2"/>
    <w:rsid w:val="00362D9C"/>
    <w:rsid w:val="0036310C"/>
    <w:rsid w:val="00363416"/>
    <w:rsid w:val="003638CF"/>
    <w:rsid w:val="00365506"/>
    <w:rsid w:val="00366A7E"/>
    <w:rsid w:val="00366EF5"/>
    <w:rsid w:val="00370DBF"/>
    <w:rsid w:val="00371C86"/>
    <w:rsid w:val="00371D8C"/>
    <w:rsid w:val="003727E9"/>
    <w:rsid w:val="00372D0B"/>
    <w:rsid w:val="00372F79"/>
    <w:rsid w:val="00374B03"/>
    <w:rsid w:val="00375DCF"/>
    <w:rsid w:val="00375E54"/>
    <w:rsid w:val="0037617B"/>
    <w:rsid w:val="00376630"/>
    <w:rsid w:val="003772DF"/>
    <w:rsid w:val="00380092"/>
    <w:rsid w:val="0038064C"/>
    <w:rsid w:val="00383F05"/>
    <w:rsid w:val="00384269"/>
    <w:rsid w:val="00384CF4"/>
    <w:rsid w:val="00385007"/>
    <w:rsid w:val="00385533"/>
    <w:rsid w:val="00385B02"/>
    <w:rsid w:val="00385EA1"/>
    <w:rsid w:val="00385FC0"/>
    <w:rsid w:val="00387A41"/>
    <w:rsid w:val="00387BC2"/>
    <w:rsid w:val="00390D85"/>
    <w:rsid w:val="00391A33"/>
    <w:rsid w:val="00391BBE"/>
    <w:rsid w:val="00394D55"/>
    <w:rsid w:val="003951CA"/>
    <w:rsid w:val="00396AD1"/>
    <w:rsid w:val="00396D31"/>
    <w:rsid w:val="00397D7D"/>
    <w:rsid w:val="003A0EEE"/>
    <w:rsid w:val="003A24BF"/>
    <w:rsid w:val="003A30E4"/>
    <w:rsid w:val="003A3535"/>
    <w:rsid w:val="003A367A"/>
    <w:rsid w:val="003A5E8B"/>
    <w:rsid w:val="003A6321"/>
    <w:rsid w:val="003A74A6"/>
    <w:rsid w:val="003A7FDE"/>
    <w:rsid w:val="003B0B39"/>
    <w:rsid w:val="003B1133"/>
    <w:rsid w:val="003B15C8"/>
    <w:rsid w:val="003B322E"/>
    <w:rsid w:val="003B642A"/>
    <w:rsid w:val="003B7AA2"/>
    <w:rsid w:val="003C0CC8"/>
    <w:rsid w:val="003C155E"/>
    <w:rsid w:val="003C1A29"/>
    <w:rsid w:val="003C2DEC"/>
    <w:rsid w:val="003C3E6D"/>
    <w:rsid w:val="003C4D93"/>
    <w:rsid w:val="003C51BF"/>
    <w:rsid w:val="003C5520"/>
    <w:rsid w:val="003C55DE"/>
    <w:rsid w:val="003C5BCA"/>
    <w:rsid w:val="003C6552"/>
    <w:rsid w:val="003C6683"/>
    <w:rsid w:val="003C6CED"/>
    <w:rsid w:val="003C7E34"/>
    <w:rsid w:val="003D120D"/>
    <w:rsid w:val="003D2134"/>
    <w:rsid w:val="003D3114"/>
    <w:rsid w:val="003D424D"/>
    <w:rsid w:val="003D5033"/>
    <w:rsid w:val="003D530E"/>
    <w:rsid w:val="003D5947"/>
    <w:rsid w:val="003D5C22"/>
    <w:rsid w:val="003D6233"/>
    <w:rsid w:val="003D6404"/>
    <w:rsid w:val="003E0910"/>
    <w:rsid w:val="003E1176"/>
    <w:rsid w:val="003E1E21"/>
    <w:rsid w:val="003E2D4E"/>
    <w:rsid w:val="003E2E2D"/>
    <w:rsid w:val="003E3ACF"/>
    <w:rsid w:val="003E531A"/>
    <w:rsid w:val="003E5D21"/>
    <w:rsid w:val="003E6A7D"/>
    <w:rsid w:val="003E6FFC"/>
    <w:rsid w:val="003F0DB6"/>
    <w:rsid w:val="003F10CE"/>
    <w:rsid w:val="003F15AD"/>
    <w:rsid w:val="003F2457"/>
    <w:rsid w:val="003F3F35"/>
    <w:rsid w:val="003F5C0D"/>
    <w:rsid w:val="00400EB9"/>
    <w:rsid w:val="004013C4"/>
    <w:rsid w:val="00401F6D"/>
    <w:rsid w:val="00402CD9"/>
    <w:rsid w:val="00403864"/>
    <w:rsid w:val="00404AA8"/>
    <w:rsid w:val="00404C8F"/>
    <w:rsid w:val="00406F65"/>
    <w:rsid w:val="00410397"/>
    <w:rsid w:val="00411751"/>
    <w:rsid w:val="00411DF7"/>
    <w:rsid w:val="00412663"/>
    <w:rsid w:val="004127E1"/>
    <w:rsid w:val="00412ABF"/>
    <w:rsid w:val="0041401D"/>
    <w:rsid w:val="004158B2"/>
    <w:rsid w:val="00415FD9"/>
    <w:rsid w:val="00417164"/>
    <w:rsid w:val="00417224"/>
    <w:rsid w:val="00421E46"/>
    <w:rsid w:val="004239A9"/>
    <w:rsid w:val="004269FF"/>
    <w:rsid w:val="00426A5D"/>
    <w:rsid w:val="004320C5"/>
    <w:rsid w:val="0043250E"/>
    <w:rsid w:val="0043296B"/>
    <w:rsid w:val="00433504"/>
    <w:rsid w:val="00433A78"/>
    <w:rsid w:val="0043656C"/>
    <w:rsid w:val="00437369"/>
    <w:rsid w:val="00437C11"/>
    <w:rsid w:val="004405A5"/>
    <w:rsid w:val="00440918"/>
    <w:rsid w:val="00440BFE"/>
    <w:rsid w:val="0044236C"/>
    <w:rsid w:val="00443580"/>
    <w:rsid w:val="00444426"/>
    <w:rsid w:val="0044644E"/>
    <w:rsid w:val="0044661D"/>
    <w:rsid w:val="00447EA9"/>
    <w:rsid w:val="0045025D"/>
    <w:rsid w:val="00450BFE"/>
    <w:rsid w:val="00451AE3"/>
    <w:rsid w:val="004527C8"/>
    <w:rsid w:val="00453110"/>
    <w:rsid w:val="00453115"/>
    <w:rsid w:val="00453F89"/>
    <w:rsid w:val="00454379"/>
    <w:rsid w:val="00454CE7"/>
    <w:rsid w:val="00455496"/>
    <w:rsid w:val="004554D7"/>
    <w:rsid w:val="00455F97"/>
    <w:rsid w:val="00460B9E"/>
    <w:rsid w:val="00462307"/>
    <w:rsid w:val="0046340B"/>
    <w:rsid w:val="004648EE"/>
    <w:rsid w:val="0046628D"/>
    <w:rsid w:val="00466473"/>
    <w:rsid w:val="00467817"/>
    <w:rsid w:val="00470991"/>
    <w:rsid w:val="00471CA3"/>
    <w:rsid w:val="00472C69"/>
    <w:rsid w:val="00473575"/>
    <w:rsid w:val="0047377A"/>
    <w:rsid w:val="00473C01"/>
    <w:rsid w:val="004758B9"/>
    <w:rsid w:val="004762DD"/>
    <w:rsid w:val="00480AAE"/>
    <w:rsid w:val="00481474"/>
    <w:rsid w:val="004816DC"/>
    <w:rsid w:val="00481A56"/>
    <w:rsid w:val="00482BCB"/>
    <w:rsid w:val="00482D49"/>
    <w:rsid w:val="00483FCF"/>
    <w:rsid w:val="004852E7"/>
    <w:rsid w:val="004853A9"/>
    <w:rsid w:val="004854E4"/>
    <w:rsid w:val="004859FF"/>
    <w:rsid w:val="0048610D"/>
    <w:rsid w:val="00487C1B"/>
    <w:rsid w:val="00491E01"/>
    <w:rsid w:val="00492376"/>
    <w:rsid w:val="00493E42"/>
    <w:rsid w:val="00493FCC"/>
    <w:rsid w:val="00496ECB"/>
    <w:rsid w:val="004A1F08"/>
    <w:rsid w:val="004A2035"/>
    <w:rsid w:val="004A2890"/>
    <w:rsid w:val="004A3659"/>
    <w:rsid w:val="004A39ED"/>
    <w:rsid w:val="004A3B6F"/>
    <w:rsid w:val="004A4351"/>
    <w:rsid w:val="004B01CA"/>
    <w:rsid w:val="004B3CCC"/>
    <w:rsid w:val="004B42DE"/>
    <w:rsid w:val="004B4D26"/>
    <w:rsid w:val="004B4F57"/>
    <w:rsid w:val="004B54E0"/>
    <w:rsid w:val="004B7078"/>
    <w:rsid w:val="004B7FD9"/>
    <w:rsid w:val="004C0196"/>
    <w:rsid w:val="004C047C"/>
    <w:rsid w:val="004C08E3"/>
    <w:rsid w:val="004C1802"/>
    <w:rsid w:val="004C1B28"/>
    <w:rsid w:val="004C2102"/>
    <w:rsid w:val="004C291A"/>
    <w:rsid w:val="004C3A9D"/>
    <w:rsid w:val="004C4929"/>
    <w:rsid w:val="004C498B"/>
    <w:rsid w:val="004C4FFB"/>
    <w:rsid w:val="004C5B83"/>
    <w:rsid w:val="004C6BD6"/>
    <w:rsid w:val="004C6EE8"/>
    <w:rsid w:val="004D0BDE"/>
    <w:rsid w:val="004D3146"/>
    <w:rsid w:val="004D3A42"/>
    <w:rsid w:val="004D473E"/>
    <w:rsid w:val="004D476C"/>
    <w:rsid w:val="004D5842"/>
    <w:rsid w:val="004D5CD3"/>
    <w:rsid w:val="004D71D5"/>
    <w:rsid w:val="004D71ED"/>
    <w:rsid w:val="004E0CBB"/>
    <w:rsid w:val="004E0DAC"/>
    <w:rsid w:val="004E1CFB"/>
    <w:rsid w:val="004E2CC2"/>
    <w:rsid w:val="004E3558"/>
    <w:rsid w:val="004E3722"/>
    <w:rsid w:val="004E389A"/>
    <w:rsid w:val="004E3BBF"/>
    <w:rsid w:val="004E3EAC"/>
    <w:rsid w:val="004E4155"/>
    <w:rsid w:val="004E41E7"/>
    <w:rsid w:val="004E43D7"/>
    <w:rsid w:val="004E4A04"/>
    <w:rsid w:val="004E4E60"/>
    <w:rsid w:val="004E53EE"/>
    <w:rsid w:val="004E546A"/>
    <w:rsid w:val="004E69EF"/>
    <w:rsid w:val="004E6DDE"/>
    <w:rsid w:val="004E7F44"/>
    <w:rsid w:val="004F0253"/>
    <w:rsid w:val="004F0DB5"/>
    <w:rsid w:val="004F2D98"/>
    <w:rsid w:val="004F44C9"/>
    <w:rsid w:val="004F467E"/>
    <w:rsid w:val="004F652F"/>
    <w:rsid w:val="004F75DC"/>
    <w:rsid w:val="004F7B0A"/>
    <w:rsid w:val="004F7BFA"/>
    <w:rsid w:val="00501CEF"/>
    <w:rsid w:val="00501D62"/>
    <w:rsid w:val="0050216A"/>
    <w:rsid w:val="00502AA9"/>
    <w:rsid w:val="0050333B"/>
    <w:rsid w:val="005042CB"/>
    <w:rsid w:val="005045DA"/>
    <w:rsid w:val="005048CD"/>
    <w:rsid w:val="00504E3C"/>
    <w:rsid w:val="00506EA5"/>
    <w:rsid w:val="00507F08"/>
    <w:rsid w:val="0051102B"/>
    <w:rsid w:val="00511473"/>
    <w:rsid w:val="00512D0C"/>
    <w:rsid w:val="00512DE9"/>
    <w:rsid w:val="00512E48"/>
    <w:rsid w:val="00513995"/>
    <w:rsid w:val="00514207"/>
    <w:rsid w:val="005144D3"/>
    <w:rsid w:val="005149E5"/>
    <w:rsid w:val="00514E78"/>
    <w:rsid w:val="0051550D"/>
    <w:rsid w:val="00515511"/>
    <w:rsid w:val="0052033A"/>
    <w:rsid w:val="005203D9"/>
    <w:rsid w:val="005209B7"/>
    <w:rsid w:val="00520C60"/>
    <w:rsid w:val="00521B68"/>
    <w:rsid w:val="00521E57"/>
    <w:rsid w:val="00521F0D"/>
    <w:rsid w:val="0052479D"/>
    <w:rsid w:val="00524D83"/>
    <w:rsid w:val="00525513"/>
    <w:rsid w:val="0052782F"/>
    <w:rsid w:val="00527F0E"/>
    <w:rsid w:val="0053081D"/>
    <w:rsid w:val="00532106"/>
    <w:rsid w:val="005328DF"/>
    <w:rsid w:val="0053672C"/>
    <w:rsid w:val="005404F5"/>
    <w:rsid w:val="00540672"/>
    <w:rsid w:val="005410E3"/>
    <w:rsid w:val="00541BC9"/>
    <w:rsid w:val="00541DE4"/>
    <w:rsid w:val="00542326"/>
    <w:rsid w:val="00542647"/>
    <w:rsid w:val="005431C1"/>
    <w:rsid w:val="00545275"/>
    <w:rsid w:val="005460D6"/>
    <w:rsid w:val="00547445"/>
    <w:rsid w:val="00547856"/>
    <w:rsid w:val="00547E79"/>
    <w:rsid w:val="00550B0D"/>
    <w:rsid w:val="00554785"/>
    <w:rsid w:val="00555536"/>
    <w:rsid w:val="005569C1"/>
    <w:rsid w:val="005602D7"/>
    <w:rsid w:val="00561256"/>
    <w:rsid w:val="00562C26"/>
    <w:rsid w:val="00564416"/>
    <w:rsid w:val="005647F5"/>
    <w:rsid w:val="005656DE"/>
    <w:rsid w:val="00566372"/>
    <w:rsid w:val="00570DE2"/>
    <w:rsid w:val="00571CA6"/>
    <w:rsid w:val="00572414"/>
    <w:rsid w:val="005726B6"/>
    <w:rsid w:val="0057322B"/>
    <w:rsid w:val="005743C3"/>
    <w:rsid w:val="00574799"/>
    <w:rsid w:val="00574846"/>
    <w:rsid w:val="0057508E"/>
    <w:rsid w:val="005755B1"/>
    <w:rsid w:val="0057583C"/>
    <w:rsid w:val="00577719"/>
    <w:rsid w:val="00580C68"/>
    <w:rsid w:val="00580C90"/>
    <w:rsid w:val="005819D5"/>
    <w:rsid w:val="00582481"/>
    <w:rsid w:val="005830FA"/>
    <w:rsid w:val="00583845"/>
    <w:rsid w:val="00583854"/>
    <w:rsid w:val="00584693"/>
    <w:rsid w:val="005869E4"/>
    <w:rsid w:val="0059170C"/>
    <w:rsid w:val="00593136"/>
    <w:rsid w:val="0059316E"/>
    <w:rsid w:val="00594AA8"/>
    <w:rsid w:val="005953BF"/>
    <w:rsid w:val="00595811"/>
    <w:rsid w:val="005962FC"/>
    <w:rsid w:val="00596C92"/>
    <w:rsid w:val="00596FC6"/>
    <w:rsid w:val="005974D3"/>
    <w:rsid w:val="005A0573"/>
    <w:rsid w:val="005A0A61"/>
    <w:rsid w:val="005A122E"/>
    <w:rsid w:val="005A185A"/>
    <w:rsid w:val="005A4432"/>
    <w:rsid w:val="005A483A"/>
    <w:rsid w:val="005A504F"/>
    <w:rsid w:val="005A5797"/>
    <w:rsid w:val="005A6559"/>
    <w:rsid w:val="005A67B8"/>
    <w:rsid w:val="005A68F5"/>
    <w:rsid w:val="005A7F10"/>
    <w:rsid w:val="005B32D8"/>
    <w:rsid w:val="005B4848"/>
    <w:rsid w:val="005B4D1B"/>
    <w:rsid w:val="005B56BD"/>
    <w:rsid w:val="005B612A"/>
    <w:rsid w:val="005B6ABD"/>
    <w:rsid w:val="005C19A3"/>
    <w:rsid w:val="005C26F4"/>
    <w:rsid w:val="005C2788"/>
    <w:rsid w:val="005C3564"/>
    <w:rsid w:val="005C39D7"/>
    <w:rsid w:val="005C4285"/>
    <w:rsid w:val="005C4A54"/>
    <w:rsid w:val="005C56E1"/>
    <w:rsid w:val="005C63EA"/>
    <w:rsid w:val="005C6C48"/>
    <w:rsid w:val="005C6EC8"/>
    <w:rsid w:val="005C7631"/>
    <w:rsid w:val="005C79B7"/>
    <w:rsid w:val="005D20C7"/>
    <w:rsid w:val="005D24D3"/>
    <w:rsid w:val="005D2DD9"/>
    <w:rsid w:val="005D2E75"/>
    <w:rsid w:val="005D39AA"/>
    <w:rsid w:val="005D3B2C"/>
    <w:rsid w:val="005D47CA"/>
    <w:rsid w:val="005D5495"/>
    <w:rsid w:val="005D5B20"/>
    <w:rsid w:val="005D5BC1"/>
    <w:rsid w:val="005D5EFA"/>
    <w:rsid w:val="005D767C"/>
    <w:rsid w:val="005E13C7"/>
    <w:rsid w:val="005E2035"/>
    <w:rsid w:val="005E2AC0"/>
    <w:rsid w:val="005E2B0C"/>
    <w:rsid w:val="005E3336"/>
    <w:rsid w:val="005E3608"/>
    <w:rsid w:val="005E4BE2"/>
    <w:rsid w:val="005E6634"/>
    <w:rsid w:val="005E70DD"/>
    <w:rsid w:val="005F0EDE"/>
    <w:rsid w:val="005F0F52"/>
    <w:rsid w:val="005F1318"/>
    <w:rsid w:val="005F1A26"/>
    <w:rsid w:val="005F23CD"/>
    <w:rsid w:val="005F2903"/>
    <w:rsid w:val="005F2A60"/>
    <w:rsid w:val="005F3DD7"/>
    <w:rsid w:val="005F4445"/>
    <w:rsid w:val="005F4EE5"/>
    <w:rsid w:val="005F5835"/>
    <w:rsid w:val="005F5BF2"/>
    <w:rsid w:val="005F71B8"/>
    <w:rsid w:val="00600CD0"/>
    <w:rsid w:val="006017DF"/>
    <w:rsid w:val="00604514"/>
    <w:rsid w:val="006046B5"/>
    <w:rsid w:val="00604753"/>
    <w:rsid w:val="00604DF9"/>
    <w:rsid w:val="006051CD"/>
    <w:rsid w:val="00606AF8"/>
    <w:rsid w:val="006101BA"/>
    <w:rsid w:val="006104EA"/>
    <w:rsid w:val="00610890"/>
    <w:rsid w:val="00611C7B"/>
    <w:rsid w:val="0061266D"/>
    <w:rsid w:val="006130C7"/>
    <w:rsid w:val="00613D54"/>
    <w:rsid w:val="0061499B"/>
    <w:rsid w:val="00614A38"/>
    <w:rsid w:val="00615F48"/>
    <w:rsid w:val="0061668D"/>
    <w:rsid w:val="00616CA9"/>
    <w:rsid w:val="00616CF6"/>
    <w:rsid w:val="006211B2"/>
    <w:rsid w:val="00621739"/>
    <w:rsid w:val="00621BE7"/>
    <w:rsid w:val="006225E4"/>
    <w:rsid w:val="00622DA2"/>
    <w:rsid w:val="00623901"/>
    <w:rsid w:val="00623B61"/>
    <w:rsid w:val="00624D17"/>
    <w:rsid w:val="00625EB7"/>
    <w:rsid w:val="006262F0"/>
    <w:rsid w:val="006265FC"/>
    <w:rsid w:val="006270B2"/>
    <w:rsid w:val="0063095E"/>
    <w:rsid w:val="00630A81"/>
    <w:rsid w:val="00630B08"/>
    <w:rsid w:val="00630DDA"/>
    <w:rsid w:val="0063215A"/>
    <w:rsid w:val="0063219F"/>
    <w:rsid w:val="0063242E"/>
    <w:rsid w:val="00632BC9"/>
    <w:rsid w:val="0063331B"/>
    <w:rsid w:val="006337C0"/>
    <w:rsid w:val="006360DC"/>
    <w:rsid w:val="00636822"/>
    <w:rsid w:val="00636AEE"/>
    <w:rsid w:val="0063748E"/>
    <w:rsid w:val="00640017"/>
    <w:rsid w:val="00640B4A"/>
    <w:rsid w:val="00641A33"/>
    <w:rsid w:val="00642C77"/>
    <w:rsid w:val="00642EA8"/>
    <w:rsid w:val="00643D39"/>
    <w:rsid w:val="00644022"/>
    <w:rsid w:val="006446D3"/>
    <w:rsid w:val="00645D23"/>
    <w:rsid w:val="00646C1E"/>
    <w:rsid w:val="0064705D"/>
    <w:rsid w:val="0064770F"/>
    <w:rsid w:val="00647AD3"/>
    <w:rsid w:val="00650A28"/>
    <w:rsid w:val="00651D2B"/>
    <w:rsid w:val="0065208A"/>
    <w:rsid w:val="006546DB"/>
    <w:rsid w:val="006562F5"/>
    <w:rsid w:val="00656538"/>
    <w:rsid w:val="00656BDC"/>
    <w:rsid w:val="006571D1"/>
    <w:rsid w:val="00657366"/>
    <w:rsid w:val="00660190"/>
    <w:rsid w:val="00662AE9"/>
    <w:rsid w:val="0066330D"/>
    <w:rsid w:val="0066391C"/>
    <w:rsid w:val="00663F43"/>
    <w:rsid w:val="006643BB"/>
    <w:rsid w:val="00664889"/>
    <w:rsid w:val="00665EAE"/>
    <w:rsid w:val="00666231"/>
    <w:rsid w:val="00666DA3"/>
    <w:rsid w:val="00670886"/>
    <w:rsid w:val="006715F1"/>
    <w:rsid w:val="00671923"/>
    <w:rsid w:val="00674EB7"/>
    <w:rsid w:val="0067629D"/>
    <w:rsid w:val="0067726B"/>
    <w:rsid w:val="006775FF"/>
    <w:rsid w:val="0068086B"/>
    <w:rsid w:val="00682185"/>
    <w:rsid w:val="00682267"/>
    <w:rsid w:val="00682329"/>
    <w:rsid w:val="00682354"/>
    <w:rsid w:val="00683F1B"/>
    <w:rsid w:val="0068728F"/>
    <w:rsid w:val="00687CDB"/>
    <w:rsid w:val="00687FCC"/>
    <w:rsid w:val="006907A7"/>
    <w:rsid w:val="00691D29"/>
    <w:rsid w:val="00693DCF"/>
    <w:rsid w:val="00694409"/>
    <w:rsid w:val="00694A03"/>
    <w:rsid w:val="00694EC9"/>
    <w:rsid w:val="00695112"/>
    <w:rsid w:val="00695E91"/>
    <w:rsid w:val="00696FB4"/>
    <w:rsid w:val="006A204A"/>
    <w:rsid w:val="006A2651"/>
    <w:rsid w:val="006A2DE3"/>
    <w:rsid w:val="006A3D01"/>
    <w:rsid w:val="006A3ED8"/>
    <w:rsid w:val="006A5B80"/>
    <w:rsid w:val="006A67CE"/>
    <w:rsid w:val="006B0777"/>
    <w:rsid w:val="006B0879"/>
    <w:rsid w:val="006B0A13"/>
    <w:rsid w:val="006B1409"/>
    <w:rsid w:val="006B17D6"/>
    <w:rsid w:val="006B2E19"/>
    <w:rsid w:val="006B2FAE"/>
    <w:rsid w:val="006B3FAF"/>
    <w:rsid w:val="006B410C"/>
    <w:rsid w:val="006B4D01"/>
    <w:rsid w:val="006B530B"/>
    <w:rsid w:val="006B5F96"/>
    <w:rsid w:val="006B666D"/>
    <w:rsid w:val="006B7462"/>
    <w:rsid w:val="006C06F6"/>
    <w:rsid w:val="006C0F2E"/>
    <w:rsid w:val="006C33F6"/>
    <w:rsid w:val="006C3CA0"/>
    <w:rsid w:val="006C3E90"/>
    <w:rsid w:val="006C4077"/>
    <w:rsid w:val="006C4B37"/>
    <w:rsid w:val="006C4C95"/>
    <w:rsid w:val="006C4D4C"/>
    <w:rsid w:val="006C56C3"/>
    <w:rsid w:val="006C6087"/>
    <w:rsid w:val="006C62FA"/>
    <w:rsid w:val="006C711E"/>
    <w:rsid w:val="006D0205"/>
    <w:rsid w:val="006D096C"/>
    <w:rsid w:val="006D17F9"/>
    <w:rsid w:val="006D1ADD"/>
    <w:rsid w:val="006D26B7"/>
    <w:rsid w:val="006D3E6A"/>
    <w:rsid w:val="006D57AC"/>
    <w:rsid w:val="006D5D4E"/>
    <w:rsid w:val="006D727F"/>
    <w:rsid w:val="006E0402"/>
    <w:rsid w:val="006E04E4"/>
    <w:rsid w:val="006E1F2B"/>
    <w:rsid w:val="006E2BC0"/>
    <w:rsid w:val="006E2EE1"/>
    <w:rsid w:val="006E2FF0"/>
    <w:rsid w:val="006E4856"/>
    <w:rsid w:val="006E6C5A"/>
    <w:rsid w:val="006E6E8F"/>
    <w:rsid w:val="006E7020"/>
    <w:rsid w:val="006E7969"/>
    <w:rsid w:val="006E79DA"/>
    <w:rsid w:val="006E7EB8"/>
    <w:rsid w:val="006E7FBC"/>
    <w:rsid w:val="006F1A48"/>
    <w:rsid w:val="006F1C89"/>
    <w:rsid w:val="006F58CF"/>
    <w:rsid w:val="006F7F07"/>
    <w:rsid w:val="0070066D"/>
    <w:rsid w:val="00700739"/>
    <w:rsid w:val="00701231"/>
    <w:rsid w:val="007023F4"/>
    <w:rsid w:val="00703854"/>
    <w:rsid w:val="0070545B"/>
    <w:rsid w:val="0070570D"/>
    <w:rsid w:val="00705A4B"/>
    <w:rsid w:val="00705DD1"/>
    <w:rsid w:val="00705F23"/>
    <w:rsid w:val="00706025"/>
    <w:rsid w:val="007062BD"/>
    <w:rsid w:val="007073B2"/>
    <w:rsid w:val="00707A6B"/>
    <w:rsid w:val="00711EBF"/>
    <w:rsid w:val="00712303"/>
    <w:rsid w:val="007128F1"/>
    <w:rsid w:val="00713622"/>
    <w:rsid w:val="007154C9"/>
    <w:rsid w:val="007160D6"/>
    <w:rsid w:val="0071676F"/>
    <w:rsid w:val="007200AC"/>
    <w:rsid w:val="00720E72"/>
    <w:rsid w:val="007214D8"/>
    <w:rsid w:val="00721C40"/>
    <w:rsid w:val="00721F0F"/>
    <w:rsid w:val="007247D6"/>
    <w:rsid w:val="0072554C"/>
    <w:rsid w:val="00726ED0"/>
    <w:rsid w:val="00730473"/>
    <w:rsid w:val="007310E1"/>
    <w:rsid w:val="00731D88"/>
    <w:rsid w:val="00731E49"/>
    <w:rsid w:val="0073225C"/>
    <w:rsid w:val="00732DC6"/>
    <w:rsid w:val="007337D1"/>
    <w:rsid w:val="00733DBE"/>
    <w:rsid w:val="00736055"/>
    <w:rsid w:val="00736A17"/>
    <w:rsid w:val="00736D91"/>
    <w:rsid w:val="00736F6A"/>
    <w:rsid w:val="007370BE"/>
    <w:rsid w:val="0074009C"/>
    <w:rsid w:val="00741F73"/>
    <w:rsid w:val="0074375A"/>
    <w:rsid w:val="00744256"/>
    <w:rsid w:val="00744950"/>
    <w:rsid w:val="00745158"/>
    <w:rsid w:val="00745FBF"/>
    <w:rsid w:val="007467AE"/>
    <w:rsid w:val="00746C19"/>
    <w:rsid w:val="00746EAB"/>
    <w:rsid w:val="007470F6"/>
    <w:rsid w:val="007473E2"/>
    <w:rsid w:val="00747758"/>
    <w:rsid w:val="00750D08"/>
    <w:rsid w:val="0075190F"/>
    <w:rsid w:val="00751B9F"/>
    <w:rsid w:val="0075335E"/>
    <w:rsid w:val="00753C5C"/>
    <w:rsid w:val="007540B4"/>
    <w:rsid w:val="00754F14"/>
    <w:rsid w:val="0075543E"/>
    <w:rsid w:val="00755443"/>
    <w:rsid w:val="00756DEC"/>
    <w:rsid w:val="00757A33"/>
    <w:rsid w:val="00757A80"/>
    <w:rsid w:val="00757B7E"/>
    <w:rsid w:val="0076193C"/>
    <w:rsid w:val="00761BA7"/>
    <w:rsid w:val="0076224C"/>
    <w:rsid w:val="0076255C"/>
    <w:rsid w:val="00763107"/>
    <w:rsid w:val="00763D41"/>
    <w:rsid w:val="00764079"/>
    <w:rsid w:val="0076463E"/>
    <w:rsid w:val="007648BE"/>
    <w:rsid w:val="00764D52"/>
    <w:rsid w:val="00765225"/>
    <w:rsid w:val="007653B2"/>
    <w:rsid w:val="0077022E"/>
    <w:rsid w:val="007714FD"/>
    <w:rsid w:val="0077163A"/>
    <w:rsid w:val="0077173E"/>
    <w:rsid w:val="00773856"/>
    <w:rsid w:val="007740A7"/>
    <w:rsid w:val="00774B2E"/>
    <w:rsid w:val="00774F36"/>
    <w:rsid w:val="00775C67"/>
    <w:rsid w:val="00775D27"/>
    <w:rsid w:val="00777147"/>
    <w:rsid w:val="00777577"/>
    <w:rsid w:val="00777FDF"/>
    <w:rsid w:val="007802EE"/>
    <w:rsid w:val="00780B92"/>
    <w:rsid w:val="007813FB"/>
    <w:rsid w:val="00783390"/>
    <w:rsid w:val="00784150"/>
    <w:rsid w:val="00784978"/>
    <w:rsid w:val="007867F5"/>
    <w:rsid w:val="00786AE8"/>
    <w:rsid w:val="00786DD2"/>
    <w:rsid w:val="00787F5D"/>
    <w:rsid w:val="00791120"/>
    <w:rsid w:val="00793470"/>
    <w:rsid w:val="0079383B"/>
    <w:rsid w:val="007938CF"/>
    <w:rsid w:val="00795FE0"/>
    <w:rsid w:val="00796DC2"/>
    <w:rsid w:val="0079709A"/>
    <w:rsid w:val="007979BB"/>
    <w:rsid w:val="00797C37"/>
    <w:rsid w:val="007A06C4"/>
    <w:rsid w:val="007A0CE8"/>
    <w:rsid w:val="007A11FB"/>
    <w:rsid w:val="007A3D1E"/>
    <w:rsid w:val="007A3FCC"/>
    <w:rsid w:val="007A4400"/>
    <w:rsid w:val="007A689E"/>
    <w:rsid w:val="007A6C55"/>
    <w:rsid w:val="007B0969"/>
    <w:rsid w:val="007B0FA5"/>
    <w:rsid w:val="007B113E"/>
    <w:rsid w:val="007B14BD"/>
    <w:rsid w:val="007B1691"/>
    <w:rsid w:val="007B19BF"/>
    <w:rsid w:val="007B2B66"/>
    <w:rsid w:val="007B3392"/>
    <w:rsid w:val="007B38DF"/>
    <w:rsid w:val="007B3A14"/>
    <w:rsid w:val="007B4036"/>
    <w:rsid w:val="007B5D4E"/>
    <w:rsid w:val="007B6710"/>
    <w:rsid w:val="007B6D77"/>
    <w:rsid w:val="007C0F49"/>
    <w:rsid w:val="007C181C"/>
    <w:rsid w:val="007C338A"/>
    <w:rsid w:val="007C3659"/>
    <w:rsid w:val="007C384E"/>
    <w:rsid w:val="007C65C4"/>
    <w:rsid w:val="007C74C4"/>
    <w:rsid w:val="007C7C07"/>
    <w:rsid w:val="007C7D34"/>
    <w:rsid w:val="007C7F6F"/>
    <w:rsid w:val="007D015B"/>
    <w:rsid w:val="007D0418"/>
    <w:rsid w:val="007D085E"/>
    <w:rsid w:val="007D088F"/>
    <w:rsid w:val="007D0BE2"/>
    <w:rsid w:val="007D19B1"/>
    <w:rsid w:val="007D335D"/>
    <w:rsid w:val="007D48AC"/>
    <w:rsid w:val="007D55CF"/>
    <w:rsid w:val="007D67CF"/>
    <w:rsid w:val="007D7059"/>
    <w:rsid w:val="007D71FF"/>
    <w:rsid w:val="007E0C0A"/>
    <w:rsid w:val="007E3CEF"/>
    <w:rsid w:val="007E5091"/>
    <w:rsid w:val="007E54C8"/>
    <w:rsid w:val="007E623B"/>
    <w:rsid w:val="007E723F"/>
    <w:rsid w:val="007E7242"/>
    <w:rsid w:val="007E72F9"/>
    <w:rsid w:val="007E7FB1"/>
    <w:rsid w:val="007F0A9D"/>
    <w:rsid w:val="007F13B2"/>
    <w:rsid w:val="007F2B11"/>
    <w:rsid w:val="007F3261"/>
    <w:rsid w:val="007F35DD"/>
    <w:rsid w:val="007F37B3"/>
    <w:rsid w:val="007F400A"/>
    <w:rsid w:val="007F5493"/>
    <w:rsid w:val="007F59ED"/>
    <w:rsid w:val="007F5EED"/>
    <w:rsid w:val="007F67C6"/>
    <w:rsid w:val="007F70C8"/>
    <w:rsid w:val="007F7F55"/>
    <w:rsid w:val="0080003D"/>
    <w:rsid w:val="008025F5"/>
    <w:rsid w:val="00803AF1"/>
    <w:rsid w:val="00804C1A"/>
    <w:rsid w:val="00804D94"/>
    <w:rsid w:val="0080665A"/>
    <w:rsid w:val="008069E9"/>
    <w:rsid w:val="00806F37"/>
    <w:rsid w:val="00807A13"/>
    <w:rsid w:val="00807A61"/>
    <w:rsid w:val="008100CC"/>
    <w:rsid w:val="00810E3D"/>
    <w:rsid w:val="00811463"/>
    <w:rsid w:val="0081180C"/>
    <w:rsid w:val="00811A43"/>
    <w:rsid w:val="00814DBA"/>
    <w:rsid w:val="00821479"/>
    <w:rsid w:val="00821CAB"/>
    <w:rsid w:val="008221EB"/>
    <w:rsid w:val="008229B7"/>
    <w:rsid w:val="0082312B"/>
    <w:rsid w:val="00823422"/>
    <w:rsid w:val="008235DE"/>
    <w:rsid w:val="0082482E"/>
    <w:rsid w:val="00824D85"/>
    <w:rsid w:val="0082550A"/>
    <w:rsid w:val="008271AD"/>
    <w:rsid w:val="00827732"/>
    <w:rsid w:val="008314BD"/>
    <w:rsid w:val="00831B51"/>
    <w:rsid w:val="00832967"/>
    <w:rsid w:val="008339D4"/>
    <w:rsid w:val="0083699D"/>
    <w:rsid w:val="00837FFD"/>
    <w:rsid w:val="008410D2"/>
    <w:rsid w:val="00842404"/>
    <w:rsid w:val="00842480"/>
    <w:rsid w:val="00842595"/>
    <w:rsid w:val="00842A62"/>
    <w:rsid w:val="00843B2C"/>
    <w:rsid w:val="0084525F"/>
    <w:rsid w:val="0084530C"/>
    <w:rsid w:val="0084677D"/>
    <w:rsid w:val="00850583"/>
    <w:rsid w:val="0085203C"/>
    <w:rsid w:val="008520A5"/>
    <w:rsid w:val="00852583"/>
    <w:rsid w:val="008525D6"/>
    <w:rsid w:val="008526F6"/>
    <w:rsid w:val="0085281E"/>
    <w:rsid w:val="008528A9"/>
    <w:rsid w:val="008531DD"/>
    <w:rsid w:val="00853E88"/>
    <w:rsid w:val="0085426B"/>
    <w:rsid w:val="0085488E"/>
    <w:rsid w:val="008549E3"/>
    <w:rsid w:val="00854B0B"/>
    <w:rsid w:val="00855167"/>
    <w:rsid w:val="008568E4"/>
    <w:rsid w:val="00856D9A"/>
    <w:rsid w:val="008572F6"/>
    <w:rsid w:val="00861E6E"/>
    <w:rsid w:val="008630D2"/>
    <w:rsid w:val="0086387D"/>
    <w:rsid w:val="0086450F"/>
    <w:rsid w:val="008670F5"/>
    <w:rsid w:val="00867C47"/>
    <w:rsid w:val="008713D7"/>
    <w:rsid w:val="00872FDE"/>
    <w:rsid w:val="00873341"/>
    <w:rsid w:val="008734EE"/>
    <w:rsid w:val="008739EC"/>
    <w:rsid w:val="008748D1"/>
    <w:rsid w:val="00875D18"/>
    <w:rsid w:val="00880AA8"/>
    <w:rsid w:val="008812F9"/>
    <w:rsid w:val="0088167D"/>
    <w:rsid w:val="008826B9"/>
    <w:rsid w:val="00882755"/>
    <w:rsid w:val="008831A1"/>
    <w:rsid w:val="00883461"/>
    <w:rsid w:val="00883472"/>
    <w:rsid w:val="00883B21"/>
    <w:rsid w:val="00883B3E"/>
    <w:rsid w:val="008840E7"/>
    <w:rsid w:val="008841D8"/>
    <w:rsid w:val="00884394"/>
    <w:rsid w:val="00884540"/>
    <w:rsid w:val="00885A1C"/>
    <w:rsid w:val="008861A0"/>
    <w:rsid w:val="00886684"/>
    <w:rsid w:val="00890AC3"/>
    <w:rsid w:val="00891086"/>
    <w:rsid w:val="008917D1"/>
    <w:rsid w:val="00891C8A"/>
    <w:rsid w:val="00891CF1"/>
    <w:rsid w:val="00891D54"/>
    <w:rsid w:val="00892055"/>
    <w:rsid w:val="00892B4C"/>
    <w:rsid w:val="00892B93"/>
    <w:rsid w:val="0089560E"/>
    <w:rsid w:val="00896074"/>
    <w:rsid w:val="008A0AFA"/>
    <w:rsid w:val="008A0F26"/>
    <w:rsid w:val="008A317A"/>
    <w:rsid w:val="008A456D"/>
    <w:rsid w:val="008A4681"/>
    <w:rsid w:val="008A69C0"/>
    <w:rsid w:val="008A76F7"/>
    <w:rsid w:val="008B086A"/>
    <w:rsid w:val="008B3314"/>
    <w:rsid w:val="008B3745"/>
    <w:rsid w:val="008B53E2"/>
    <w:rsid w:val="008B56B0"/>
    <w:rsid w:val="008B6507"/>
    <w:rsid w:val="008B6E77"/>
    <w:rsid w:val="008C1250"/>
    <w:rsid w:val="008C14F4"/>
    <w:rsid w:val="008C27EC"/>
    <w:rsid w:val="008C33CD"/>
    <w:rsid w:val="008C3698"/>
    <w:rsid w:val="008C4489"/>
    <w:rsid w:val="008C44D4"/>
    <w:rsid w:val="008C5823"/>
    <w:rsid w:val="008D05A6"/>
    <w:rsid w:val="008D05C7"/>
    <w:rsid w:val="008D06E8"/>
    <w:rsid w:val="008D245D"/>
    <w:rsid w:val="008D3EDB"/>
    <w:rsid w:val="008D3EE7"/>
    <w:rsid w:val="008D64C9"/>
    <w:rsid w:val="008D6CE0"/>
    <w:rsid w:val="008D6D15"/>
    <w:rsid w:val="008D767D"/>
    <w:rsid w:val="008D7983"/>
    <w:rsid w:val="008D7A4B"/>
    <w:rsid w:val="008E024C"/>
    <w:rsid w:val="008E032D"/>
    <w:rsid w:val="008E038A"/>
    <w:rsid w:val="008E0802"/>
    <w:rsid w:val="008E14E6"/>
    <w:rsid w:val="008E1F6E"/>
    <w:rsid w:val="008E22F3"/>
    <w:rsid w:val="008E2657"/>
    <w:rsid w:val="008E2F4A"/>
    <w:rsid w:val="008E333C"/>
    <w:rsid w:val="008E36E6"/>
    <w:rsid w:val="008E3864"/>
    <w:rsid w:val="008E4B94"/>
    <w:rsid w:val="008E6C39"/>
    <w:rsid w:val="008E7718"/>
    <w:rsid w:val="008F00E5"/>
    <w:rsid w:val="008F05EF"/>
    <w:rsid w:val="008F2BFE"/>
    <w:rsid w:val="008F3D26"/>
    <w:rsid w:val="008F4AA6"/>
    <w:rsid w:val="008F4E7C"/>
    <w:rsid w:val="008F594C"/>
    <w:rsid w:val="008F62FA"/>
    <w:rsid w:val="008F6937"/>
    <w:rsid w:val="008F7A17"/>
    <w:rsid w:val="00901025"/>
    <w:rsid w:val="00902040"/>
    <w:rsid w:val="0090206A"/>
    <w:rsid w:val="009024D1"/>
    <w:rsid w:val="00902719"/>
    <w:rsid w:val="0090284A"/>
    <w:rsid w:val="00902CDD"/>
    <w:rsid w:val="00904012"/>
    <w:rsid w:val="00904F40"/>
    <w:rsid w:val="00906426"/>
    <w:rsid w:val="009077C1"/>
    <w:rsid w:val="00911D4F"/>
    <w:rsid w:val="009129D2"/>
    <w:rsid w:val="009133ED"/>
    <w:rsid w:val="00914556"/>
    <w:rsid w:val="00914C6F"/>
    <w:rsid w:val="00914E19"/>
    <w:rsid w:val="009162AB"/>
    <w:rsid w:val="0091630E"/>
    <w:rsid w:val="00916660"/>
    <w:rsid w:val="00916AD3"/>
    <w:rsid w:val="0091762A"/>
    <w:rsid w:val="00920327"/>
    <w:rsid w:val="00921A4A"/>
    <w:rsid w:val="00921BD2"/>
    <w:rsid w:val="00923FFD"/>
    <w:rsid w:val="0092512A"/>
    <w:rsid w:val="009251F2"/>
    <w:rsid w:val="00925CE1"/>
    <w:rsid w:val="00925D62"/>
    <w:rsid w:val="00926136"/>
    <w:rsid w:val="00926807"/>
    <w:rsid w:val="00926B29"/>
    <w:rsid w:val="009301AD"/>
    <w:rsid w:val="009308EE"/>
    <w:rsid w:val="00930A5F"/>
    <w:rsid w:val="00932F19"/>
    <w:rsid w:val="009333AB"/>
    <w:rsid w:val="00933E02"/>
    <w:rsid w:val="00933EBE"/>
    <w:rsid w:val="00935321"/>
    <w:rsid w:val="009356F3"/>
    <w:rsid w:val="00936AE4"/>
    <w:rsid w:val="00937381"/>
    <w:rsid w:val="00940216"/>
    <w:rsid w:val="00940BA9"/>
    <w:rsid w:val="0094141A"/>
    <w:rsid w:val="00941BB9"/>
    <w:rsid w:val="00942E87"/>
    <w:rsid w:val="00943152"/>
    <w:rsid w:val="00944785"/>
    <w:rsid w:val="009448A1"/>
    <w:rsid w:val="0094552F"/>
    <w:rsid w:val="00946492"/>
    <w:rsid w:val="0094726F"/>
    <w:rsid w:val="00947599"/>
    <w:rsid w:val="009502B6"/>
    <w:rsid w:val="00950666"/>
    <w:rsid w:val="00950789"/>
    <w:rsid w:val="00950930"/>
    <w:rsid w:val="0095126E"/>
    <w:rsid w:val="0095130B"/>
    <w:rsid w:val="00952CFE"/>
    <w:rsid w:val="0095306B"/>
    <w:rsid w:val="009531E7"/>
    <w:rsid w:val="0095328E"/>
    <w:rsid w:val="00953394"/>
    <w:rsid w:val="00953CE6"/>
    <w:rsid w:val="00954496"/>
    <w:rsid w:val="009549C2"/>
    <w:rsid w:val="009552FF"/>
    <w:rsid w:val="00955581"/>
    <w:rsid w:val="009561C8"/>
    <w:rsid w:val="009562DB"/>
    <w:rsid w:val="0095635B"/>
    <w:rsid w:val="00957924"/>
    <w:rsid w:val="00960305"/>
    <w:rsid w:val="00960458"/>
    <w:rsid w:val="00960897"/>
    <w:rsid w:val="00960DA2"/>
    <w:rsid w:val="00962837"/>
    <w:rsid w:val="0096484F"/>
    <w:rsid w:val="00965D46"/>
    <w:rsid w:val="009661E9"/>
    <w:rsid w:val="00966508"/>
    <w:rsid w:val="00966FCF"/>
    <w:rsid w:val="00967B6D"/>
    <w:rsid w:val="009713BB"/>
    <w:rsid w:val="009719DB"/>
    <w:rsid w:val="00971DD7"/>
    <w:rsid w:val="00972139"/>
    <w:rsid w:val="00972CB2"/>
    <w:rsid w:val="00973070"/>
    <w:rsid w:val="00973716"/>
    <w:rsid w:val="009737AC"/>
    <w:rsid w:val="00973916"/>
    <w:rsid w:val="0097405A"/>
    <w:rsid w:val="00974353"/>
    <w:rsid w:val="00975EA4"/>
    <w:rsid w:val="009766CE"/>
    <w:rsid w:val="0097672C"/>
    <w:rsid w:val="00977308"/>
    <w:rsid w:val="009775B2"/>
    <w:rsid w:val="00977658"/>
    <w:rsid w:val="009779B7"/>
    <w:rsid w:val="00980536"/>
    <w:rsid w:val="009825B8"/>
    <w:rsid w:val="00983331"/>
    <w:rsid w:val="009835B0"/>
    <w:rsid w:val="00983FF6"/>
    <w:rsid w:val="00985FBD"/>
    <w:rsid w:val="00986270"/>
    <w:rsid w:val="009868DC"/>
    <w:rsid w:val="009869E5"/>
    <w:rsid w:val="00987C36"/>
    <w:rsid w:val="009905C6"/>
    <w:rsid w:val="00991AE6"/>
    <w:rsid w:val="00992A9E"/>
    <w:rsid w:val="00992DF5"/>
    <w:rsid w:val="00992E8A"/>
    <w:rsid w:val="00992F24"/>
    <w:rsid w:val="00994008"/>
    <w:rsid w:val="0099610E"/>
    <w:rsid w:val="00996EAE"/>
    <w:rsid w:val="009970D6"/>
    <w:rsid w:val="00997E45"/>
    <w:rsid w:val="009A00C1"/>
    <w:rsid w:val="009A2CDD"/>
    <w:rsid w:val="009A2EFA"/>
    <w:rsid w:val="009A31E7"/>
    <w:rsid w:val="009A3311"/>
    <w:rsid w:val="009A34F7"/>
    <w:rsid w:val="009A37AC"/>
    <w:rsid w:val="009A3A9F"/>
    <w:rsid w:val="009A431B"/>
    <w:rsid w:val="009A6656"/>
    <w:rsid w:val="009A74D7"/>
    <w:rsid w:val="009B0A14"/>
    <w:rsid w:val="009B1A42"/>
    <w:rsid w:val="009B1E30"/>
    <w:rsid w:val="009B2B90"/>
    <w:rsid w:val="009B3BC5"/>
    <w:rsid w:val="009B6360"/>
    <w:rsid w:val="009B6A3B"/>
    <w:rsid w:val="009C03FF"/>
    <w:rsid w:val="009C1B2B"/>
    <w:rsid w:val="009C3B88"/>
    <w:rsid w:val="009C4152"/>
    <w:rsid w:val="009C4C0C"/>
    <w:rsid w:val="009C4FA0"/>
    <w:rsid w:val="009C5B1E"/>
    <w:rsid w:val="009C5C46"/>
    <w:rsid w:val="009C65F7"/>
    <w:rsid w:val="009C6705"/>
    <w:rsid w:val="009C7B57"/>
    <w:rsid w:val="009D03D5"/>
    <w:rsid w:val="009D147F"/>
    <w:rsid w:val="009D1912"/>
    <w:rsid w:val="009D21F3"/>
    <w:rsid w:val="009D2301"/>
    <w:rsid w:val="009D615F"/>
    <w:rsid w:val="009D66AF"/>
    <w:rsid w:val="009D7D5B"/>
    <w:rsid w:val="009E13D3"/>
    <w:rsid w:val="009E252E"/>
    <w:rsid w:val="009E2A91"/>
    <w:rsid w:val="009E3224"/>
    <w:rsid w:val="009E4174"/>
    <w:rsid w:val="009E417F"/>
    <w:rsid w:val="009E5430"/>
    <w:rsid w:val="009E5A03"/>
    <w:rsid w:val="009E7C6A"/>
    <w:rsid w:val="009F0031"/>
    <w:rsid w:val="009F22F2"/>
    <w:rsid w:val="009F2438"/>
    <w:rsid w:val="009F48EB"/>
    <w:rsid w:val="009F581B"/>
    <w:rsid w:val="009F7B1B"/>
    <w:rsid w:val="009F7CFB"/>
    <w:rsid w:val="009F7F83"/>
    <w:rsid w:val="00A00D96"/>
    <w:rsid w:val="00A01F3A"/>
    <w:rsid w:val="00A026F5"/>
    <w:rsid w:val="00A02FC6"/>
    <w:rsid w:val="00A0336D"/>
    <w:rsid w:val="00A05677"/>
    <w:rsid w:val="00A0717C"/>
    <w:rsid w:val="00A071DA"/>
    <w:rsid w:val="00A07941"/>
    <w:rsid w:val="00A11BBA"/>
    <w:rsid w:val="00A13E0C"/>
    <w:rsid w:val="00A140A0"/>
    <w:rsid w:val="00A148C4"/>
    <w:rsid w:val="00A15171"/>
    <w:rsid w:val="00A1560E"/>
    <w:rsid w:val="00A157D7"/>
    <w:rsid w:val="00A1753C"/>
    <w:rsid w:val="00A20A25"/>
    <w:rsid w:val="00A210E7"/>
    <w:rsid w:val="00A211B3"/>
    <w:rsid w:val="00A22F53"/>
    <w:rsid w:val="00A23ABC"/>
    <w:rsid w:val="00A240D8"/>
    <w:rsid w:val="00A24632"/>
    <w:rsid w:val="00A2776B"/>
    <w:rsid w:val="00A27C2E"/>
    <w:rsid w:val="00A30360"/>
    <w:rsid w:val="00A3052E"/>
    <w:rsid w:val="00A32DF6"/>
    <w:rsid w:val="00A3362A"/>
    <w:rsid w:val="00A346DE"/>
    <w:rsid w:val="00A354D1"/>
    <w:rsid w:val="00A35A7C"/>
    <w:rsid w:val="00A35B10"/>
    <w:rsid w:val="00A37B61"/>
    <w:rsid w:val="00A4100A"/>
    <w:rsid w:val="00A41846"/>
    <w:rsid w:val="00A4253B"/>
    <w:rsid w:val="00A42849"/>
    <w:rsid w:val="00A43299"/>
    <w:rsid w:val="00A43B10"/>
    <w:rsid w:val="00A43DD2"/>
    <w:rsid w:val="00A44193"/>
    <w:rsid w:val="00A46A39"/>
    <w:rsid w:val="00A46CED"/>
    <w:rsid w:val="00A47299"/>
    <w:rsid w:val="00A472FE"/>
    <w:rsid w:val="00A47C56"/>
    <w:rsid w:val="00A50887"/>
    <w:rsid w:val="00A50E87"/>
    <w:rsid w:val="00A51559"/>
    <w:rsid w:val="00A5280B"/>
    <w:rsid w:val="00A52AD2"/>
    <w:rsid w:val="00A54325"/>
    <w:rsid w:val="00A54F13"/>
    <w:rsid w:val="00A5519A"/>
    <w:rsid w:val="00A5543A"/>
    <w:rsid w:val="00A55EB3"/>
    <w:rsid w:val="00A56CA7"/>
    <w:rsid w:val="00A612A9"/>
    <w:rsid w:val="00A6138A"/>
    <w:rsid w:val="00A61462"/>
    <w:rsid w:val="00A63CA6"/>
    <w:rsid w:val="00A646B8"/>
    <w:rsid w:val="00A677AB"/>
    <w:rsid w:val="00A6791D"/>
    <w:rsid w:val="00A700C3"/>
    <w:rsid w:val="00A70349"/>
    <w:rsid w:val="00A70ED7"/>
    <w:rsid w:val="00A71D8A"/>
    <w:rsid w:val="00A72D02"/>
    <w:rsid w:val="00A7397A"/>
    <w:rsid w:val="00A75568"/>
    <w:rsid w:val="00A75DCC"/>
    <w:rsid w:val="00A76222"/>
    <w:rsid w:val="00A764BA"/>
    <w:rsid w:val="00A76C51"/>
    <w:rsid w:val="00A77283"/>
    <w:rsid w:val="00A774C4"/>
    <w:rsid w:val="00A80270"/>
    <w:rsid w:val="00A816E9"/>
    <w:rsid w:val="00A82AE4"/>
    <w:rsid w:val="00A82BAE"/>
    <w:rsid w:val="00A85C00"/>
    <w:rsid w:val="00A874EC"/>
    <w:rsid w:val="00A90340"/>
    <w:rsid w:val="00A90EE3"/>
    <w:rsid w:val="00A91E8B"/>
    <w:rsid w:val="00A92169"/>
    <w:rsid w:val="00A93422"/>
    <w:rsid w:val="00A943B7"/>
    <w:rsid w:val="00A963EC"/>
    <w:rsid w:val="00A9641B"/>
    <w:rsid w:val="00A96588"/>
    <w:rsid w:val="00A968AD"/>
    <w:rsid w:val="00A97969"/>
    <w:rsid w:val="00A97C2F"/>
    <w:rsid w:val="00AA011D"/>
    <w:rsid w:val="00AA1DE0"/>
    <w:rsid w:val="00AA2993"/>
    <w:rsid w:val="00AA2CD1"/>
    <w:rsid w:val="00AA332D"/>
    <w:rsid w:val="00AA385A"/>
    <w:rsid w:val="00AA5880"/>
    <w:rsid w:val="00AA6991"/>
    <w:rsid w:val="00AA7E34"/>
    <w:rsid w:val="00AB0A93"/>
    <w:rsid w:val="00AB12C8"/>
    <w:rsid w:val="00AB2CE5"/>
    <w:rsid w:val="00AB49BD"/>
    <w:rsid w:val="00AB4EE4"/>
    <w:rsid w:val="00AB559F"/>
    <w:rsid w:val="00AB575C"/>
    <w:rsid w:val="00AB7070"/>
    <w:rsid w:val="00AB75EC"/>
    <w:rsid w:val="00AB78CF"/>
    <w:rsid w:val="00AC04A0"/>
    <w:rsid w:val="00AC3732"/>
    <w:rsid w:val="00AC37DD"/>
    <w:rsid w:val="00AC3D14"/>
    <w:rsid w:val="00AC45B4"/>
    <w:rsid w:val="00AC4612"/>
    <w:rsid w:val="00AC4E51"/>
    <w:rsid w:val="00AC5580"/>
    <w:rsid w:val="00AC657E"/>
    <w:rsid w:val="00AC75D2"/>
    <w:rsid w:val="00AC7638"/>
    <w:rsid w:val="00AD348A"/>
    <w:rsid w:val="00AD38D7"/>
    <w:rsid w:val="00AD46ED"/>
    <w:rsid w:val="00AD4BB9"/>
    <w:rsid w:val="00AD5375"/>
    <w:rsid w:val="00AD5A33"/>
    <w:rsid w:val="00AD5A8C"/>
    <w:rsid w:val="00AD6F97"/>
    <w:rsid w:val="00AD71A9"/>
    <w:rsid w:val="00AD7258"/>
    <w:rsid w:val="00AE0B15"/>
    <w:rsid w:val="00AE1879"/>
    <w:rsid w:val="00AE20D0"/>
    <w:rsid w:val="00AE211F"/>
    <w:rsid w:val="00AE2120"/>
    <w:rsid w:val="00AE238E"/>
    <w:rsid w:val="00AE2F7D"/>
    <w:rsid w:val="00AE46F3"/>
    <w:rsid w:val="00AE58F4"/>
    <w:rsid w:val="00AE5CBC"/>
    <w:rsid w:val="00AE5D58"/>
    <w:rsid w:val="00AE64B0"/>
    <w:rsid w:val="00AE7824"/>
    <w:rsid w:val="00AF202B"/>
    <w:rsid w:val="00AF2B98"/>
    <w:rsid w:val="00AF3F32"/>
    <w:rsid w:val="00AF4A5B"/>
    <w:rsid w:val="00AF7469"/>
    <w:rsid w:val="00B00351"/>
    <w:rsid w:val="00B00359"/>
    <w:rsid w:val="00B0111A"/>
    <w:rsid w:val="00B01575"/>
    <w:rsid w:val="00B01B2C"/>
    <w:rsid w:val="00B02909"/>
    <w:rsid w:val="00B038D7"/>
    <w:rsid w:val="00B059E4"/>
    <w:rsid w:val="00B05FC2"/>
    <w:rsid w:val="00B064A5"/>
    <w:rsid w:val="00B07322"/>
    <w:rsid w:val="00B07E84"/>
    <w:rsid w:val="00B10025"/>
    <w:rsid w:val="00B10681"/>
    <w:rsid w:val="00B10B2B"/>
    <w:rsid w:val="00B119B1"/>
    <w:rsid w:val="00B11D6E"/>
    <w:rsid w:val="00B12846"/>
    <w:rsid w:val="00B13399"/>
    <w:rsid w:val="00B13B3C"/>
    <w:rsid w:val="00B14727"/>
    <w:rsid w:val="00B1609B"/>
    <w:rsid w:val="00B17B66"/>
    <w:rsid w:val="00B21718"/>
    <w:rsid w:val="00B21EEE"/>
    <w:rsid w:val="00B22B94"/>
    <w:rsid w:val="00B236C6"/>
    <w:rsid w:val="00B24527"/>
    <w:rsid w:val="00B24B9D"/>
    <w:rsid w:val="00B25755"/>
    <w:rsid w:val="00B26396"/>
    <w:rsid w:val="00B263A8"/>
    <w:rsid w:val="00B266F8"/>
    <w:rsid w:val="00B2684B"/>
    <w:rsid w:val="00B307D5"/>
    <w:rsid w:val="00B324B0"/>
    <w:rsid w:val="00B32786"/>
    <w:rsid w:val="00B33D2E"/>
    <w:rsid w:val="00B356E2"/>
    <w:rsid w:val="00B35FF6"/>
    <w:rsid w:val="00B37517"/>
    <w:rsid w:val="00B375EF"/>
    <w:rsid w:val="00B407D9"/>
    <w:rsid w:val="00B4298B"/>
    <w:rsid w:val="00B434A7"/>
    <w:rsid w:val="00B43784"/>
    <w:rsid w:val="00B4435B"/>
    <w:rsid w:val="00B44677"/>
    <w:rsid w:val="00B44F39"/>
    <w:rsid w:val="00B478DB"/>
    <w:rsid w:val="00B51848"/>
    <w:rsid w:val="00B52916"/>
    <w:rsid w:val="00B52F6C"/>
    <w:rsid w:val="00B53A5D"/>
    <w:rsid w:val="00B53B57"/>
    <w:rsid w:val="00B53FBE"/>
    <w:rsid w:val="00B543A4"/>
    <w:rsid w:val="00B54897"/>
    <w:rsid w:val="00B56E66"/>
    <w:rsid w:val="00B56FD0"/>
    <w:rsid w:val="00B60862"/>
    <w:rsid w:val="00B610B1"/>
    <w:rsid w:val="00B616FB"/>
    <w:rsid w:val="00B61BEB"/>
    <w:rsid w:val="00B61F79"/>
    <w:rsid w:val="00B6271F"/>
    <w:rsid w:val="00B63117"/>
    <w:rsid w:val="00B6394D"/>
    <w:rsid w:val="00B649F7"/>
    <w:rsid w:val="00B653ED"/>
    <w:rsid w:val="00B66277"/>
    <w:rsid w:val="00B66813"/>
    <w:rsid w:val="00B66883"/>
    <w:rsid w:val="00B669A5"/>
    <w:rsid w:val="00B67AEE"/>
    <w:rsid w:val="00B67B2E"/>
    <w:rsid w:val="00B705EB"/>
    <w:rsid w:val="00B7172C"/>
    <w:rsid w:val="00B73151"/>
    <w:rsid w:val="00B734E5"/>
    <w:rsid w:val="00B739E3"/>
    <w:rsid w:val="00B743C4"/>
    <w:rsid w:val="00B75E38"/>
    <w:rsid w:val="00B76698"/>
    <w:rsid w:val="00B76AD6"/>
    <w:rsid w:val="00B80F62"/>
    <w:rsid w:val="00B81139"/>
    <w:rsid w:val="00B815BB"/>
    <w:rsid w:val="00B81864"/>
    <w:rsid w:val="00B81D2B"/>
    <w:rsid w:val="00B81F68"/>
    <w:rsid w:val="00B82850"/>
    <w:rsid w:val="00B82CEC"/>
    <w:rsid w:val="00B83AA0"/>
    <w:rsid w:val="00B85A5A"/>
    <w:rsid w:val="00B86027"/>
    <w:rsid w:val="00B86C1F"/>
    <w:rsid w:val="00B8764B"/>
    <w:rsid w:val="00B87715"/>
    <w:rsid w:val="00B90407"/>
    <w:rsid w:val="00B91AC3"/>
    <w:rsid w:val="00B91B4F"/>
    <w:rsid w:val="00B9271F"/>
    <w:rsid w:val="00B93127"/>
    <w:rsid w:val="00B93385"/>
    <w:rsid w:val="00B937A8"/>
    <w:rsid w:val="00B93D2F"/>
    <w:rsid w:val="00B93F62"/>
    <w:rsid w:val="00B9488A"/>
    <w:rsid w:val="00B94B2C"/>
    <w:rsid w:val="00B957A9"/>
    <w:rsid w:val="00B95F91"/>
    <w:rsid w:val="00B976B9"/>
    <w:rsid w:val="00BA0047"/>
    <w:rsid w:val="00BA0378"/>
    <w:rsid w:val="00BA0913"/>
    <w:rsid w:val="00BA0C5F"/>
    <w:rsid w:val="00BA1BA1"/>
    <w:rsid w:val="00BA2294"/>
    <w:rsid w:val="00BA3BA2"/>
    <w:rsid w:val="00BA58D6"/>
    <w:rsid w:val="00BA60D1"/>
    <w:rsid w:val="00BA62F3"/>
    <w:rsid w:val="00BA63FC"/>
    <w:rsid w:val="00BA7622"/>
    <w:rsid w:val="00BB0445"/>
    <w:rsid w:val="00BB06DF"/>
    <w:rsid w:val="00BB0E58"/>
    <w:rsid w:val="00BB2CF1"/>
    <w:rsid w:val="00BB3A68"/>
    <w:rsid w:val="00BB3C89"/>
    <w:rsid w:val="00BB5766"/>
    <w:rsid w:val="00BB5EC2"/>
    <w:rsid w:val="00BB67DE"/>
    <w:rsid w:val="00BB69DA"/>
    <w:rsid w:val="00BB7014"/>
    <w:rsid w:val="00BC129C"/>
    <w:rsid w:val="00BC23FB"/>
    <w:rsid w:val="00BC2B45"/>
    <w:rsid w:val="00BC2CF6"/>
    <w:rsid w:val="00BC36D7"/>
    <w:rsid w:val="00BC398D"/>
    <w:rsid w:val="00BC3BAE"/>
    <w:rsid w:val="00BC4110"/>
    <w:rsid w:val="00BC4BA5"/>
    <w:rsid w:val="00BC592F"/>
    <w:rsid w:val="00BC6701"/>
    <w:rsid w:val="00BC6A39"/>
    <w:rsid w:val="00BC7272"/>
    <w:rsid w:val="00BC797E"/>
    <w:rsid w:val="00BC7EC5"/>
    <w:rsid w:val="00BD13CB"/>
    <w:rsid w:val="00BD24C4"/>
    <w:rsid w:val="00BD2649"/>
    <w:rsid w:val="00BD3B34"/>
    <w:rsid w:val="00BD3B51"/>
    <w:rsid w:val="00BD4CC9"/>
    <w:rsid w:val="00BD6541"/>
    <w:rsid w:val="00BD7B0E"/>
    <w:rsid w:val="00BE06CF"/>
    <w:rsid w:val="00BE1177"/>
    <w:rsid w:val="00BE1A83"/>
    <w:rsid w:val="00BE2426"/>
    <w:rsid w:val="00BE2CBE"/>
    <w:rsid w:val="00BE3990"/>
    <w:rsid w:val="00BE3F2A"/>
    <w:rsid w:val="00BE5715"/>
    <w:rsid w:val="00BE6662"/>
    <w:rsid w:val="00BE6964"/>
    <w:rsid w:val="00BE707B"/>
    <w:rsid w:val="00BE7471"/>
    <w:rsid w:val="00BE7782"/>
    <w:rsid w:val="00BE77C6"/>
    <w:rsid w:val="00BF0873"/>
    <w:rsid w:val="00BF0A7A"/>
    <w:rsid w:val="00BF127B"/>
    <w:rsid w:val="00BF214F"/>
    <w:rsid w:val="00BF3535"/>
    <w:rsid w:val="00BF3961"/>
    <w:rsid w:val="00BF4C69"/>
    <w:rsid w:val="00BF507B"/>
    <w:rsid w:val="00BF5512"/>
    <w:rsid w:val="00BF65B8"/>
    <w:rsid w:val="00C00A3A"/>
    <w:rsid w:val="00C01A16"/>
    <w:rsid w:val="00C02CEC"/>
    <w:rsid w:val="00C039CF"/>
    <w:rsid w:val="00C05BD3"/>
    <w:rsid w:val="00C066A0"/>
    <w:rsid w:val="00C06D89"/>
    <w:rsid w:val="00C07931"/>
    <w:rsid w:val="00C105A8"/>
    <w:rsid w:val="00C11D5C"/>
    <w:rsid w:val="00C11FF5"/>
    <w:rsid w:val="00C128D6"/>
    <w:rsid w:val="00C13B48"/>
    <w:rsid w:val="00C2075C"/>
    <w:rsid w:val="00C20E29"/>
    <w:rsid w:val="00C21CBF"/>
    <w:rsid w:val="00C2225E"/>
    <w:rsid w:val="00C2236B"/>
    <w:rsid w:val="00C22CF5"/>
    <w:rsid w:val="00C240D8"/>
    <w:rsid w:val="00C27368"/>
    <w:rsid w:val="00C3251C"/>
    <w:rsid w:val="00C32C2F"/>
    <w:rsid w:val="00C32F20"/>
    <w:rsid w:val="00C3422A"/>
    <w:rsid w:val="00C3435E"/>
    <w:rsid w:val="00C344B5"/>
    <w:rsid w:val="00C3594E"/>
    <w:rsid w:val="00C36F18"/>
    <w:rsid w:val="00C36F6F"/>
    <w:rsid w:val="00C37C7F"/>
    <w:rsid w:val="00C40A6F"/>
    <w:rsid w:val="00C43A2E"/>
    <w:rsid w:val="00C450E5"/>
    <w:rsid w:val="00C4571D"/>
    <w:rsid w:val="00C458BE"/>
    <w:rsid w:val="00C46622"/>
    <w:rsid w:val="00C4666D"/>
    <w:rsid w:val="00C46A5F"/>
    <w:rsid w:val="00C47447"/>
    <w:rsid w:val="00C474A5"/>
    <w:rsid w:val="00C507F2"/>
    <w:rsid w:val="00C50B88"/>
    <w:rsid w:val="00C50C83"/>
    <w:rsid w:val="00C51D47"/>
    <w:rsid w:val="00C51F49"/>
    <w:rsid w:val="00C52469"/>
    <w:rsid w:val="00C5292B"/>
    <w:rsid w:val="00C53366"/>
    <w:rsid w:val="00C53B5A"/>
    <w:rsid w:val="00C54AE0"/>
    <w:rsid w:val="00C54EDA"/>
    <w:rsid w:val="00C55B52"/>
    <w:rsid w:val="00C613A6"/>
    <w:rsid w:val="00C61912"/>
    <w:rsid w:val="00C62318"/>
    <w:rsid w:val="00C65782"/>
    <w:rsid w:val="00C657FF"/>
    <w:rsid w:val="00C70686"/>
    <w:rsid w:val="00C711E6"/>
    <w:rsid w:val="00C71F81"/>
    <w:rsid w:val="00C7267F"/>
    <w:rsid w:val="00C73050"/>
    <w:rsid w:val="00C735E3"/>
    <w:rsid w:val="00C740D6"/>
    <w:rsid w:val="00C76D5B"/>
    <w:rsid w:val="00C770E7"/>
    <w:rsid w:val="00C77B69"/>
    <w:rsid w:val="00C77F73"/>
    <w:rsid w:val="00C81B0D"/>
    <w:rsid w:val="00C8227A"/>
    <w:rsid w:val="00C8245D"/>
    <w:rsid w:val="00C8262A"/>
    <w:rsid w:val="00C83FA1"/>
    <w:rsid w:val="00C852A6"/>
    <w:rsid w:val="00C85BBE"/>
    <w:rsid w:val="00C8600F"/>
    <w:rsid w:val="00C86B25"/>
    <w:rsid w:val="00C86C89"/>
    <w:rsid w:val="00C90E27"/>
    <w:rsid w:val="00C913D5"/>
    <w:rsid w:val="00C913E2"/>
    <w:rsid w:val="00C916B3"/>
    <w:rsid w:val="00C94183"/>
    <w:rsid w:val="00C950E5"/>
    <w:rsid w:val="00C96241"/>
    <w:rsid w:val="00C965F0"/>
    <w:rsid w:val="00C96D4E"/>
    <w:rsid w:val="00C97019"/>
    <w:rsid w:val="00C97F35"/>
    <w:rsid w:val="00CA0772"/>
    <w:rsid w:val="00CA0918"/>
    <w:rsid w:val="00CA0BD4"/>
    <w:rsid w:val="00CA121A"/>
    <w:rsid w:val="00CA173E"/>
    <w:rsid w:val="00CA1BF3"/>
    <w:rsid w:val="00CA2713"/>
    <w:rsid w:val="00CA29D7"/>
    <w:rsid w:val="00CA312C"/>
    <w:rsid w:val="00CA351F"/>
    <w:rsid w:val="00CA3A10"/>
    <w:rsid w:val="00CA548C"/>
    <w:rsid w:val="00CA56F0"/>
    <w:rsid w:val="00CA5734"/>
    <w:rsid w:val="00CA5AC9"/>
    <w:rsid w:val="00CB0A5F"/>
    <w:rsid w:val="00CB12B2"/>
    <w:rsid w:val="00CB2380"/>
    <w:rsid w:val="00CB2CE6"/>
    <w:rsid w:val="00CB46AB"/>
    <w:rsid w:val="00CB4C2C"/>
    <w:rsid w:val="00CB5EBB"/>
    <w:rsid w:val="00CB6701"/>
    <w:rsid w:val="00CB6CCA"/>
    <w:rsid w:val="00CB6DDB"/>
    <w:rsid w:val="00CB75C8"/>
    <w:rsid w:val="00CB7B49"/>
    <w:rsid w:val="00CC103D"/>
    <w:rsid w:val="00CC15FB"/>
    <w:rsid w:val="00CC1EFE"/>
    <w:rsid w:val="00CC2596"/>
    <w:rsid w:val="00CC29E3"/>
    <w:rsid w:val="00CC3A78"/>
    <w:rsid w:val="00CC48F7"/>
    <w:rsid w:val="00CC68B6"/>
    <w:rsid w:val="00CC6A3C"/>
    <w:rsid w:val="00CC6E45"/>
    <w:rsid w:val="00CC6FF1"/>
    <w:rsid w:val="00CD00F3"/>
    <w:rsid w:val="00CD0356"/>
    <w:rsid w:val="00CD04F8"/>
    <w:rsid w:val="00CD1ABA"/>
    <w:rsid w:val="00CD29D4"/>
    <w:rsid w:val="00CD3682"/>
    <w:rsid w:val="00CD3A63"/>
    <w:rsid w:val="00CD3ED6"/>
    <w:rsid w:val="00CD3F33"/>
    <w:rsid w:val="00CD4EE9"/>
    <w:rsid w:val="00CD568E"/>
    <w:rsid w:val="00CD590B"/>
    <w:rsid w:val="00CD6015"/>
    <w:rsid w:val="00CD6C8C"/>
    <w:rsid w:val="00CE0449"/>
    <w:rsid w:val="00CE05A3"/>
    <w:rsid w:val="00CE1CAA"/>
    <w:rsid w:val="00CE2343"/>
    <w:rsid w:val="00CE4523"/>
    <w:rsid w:val="00CE482E"/>
    <w:rsid w:val="00CE5015"/>
    <w:rsid w:val="00CE55E1"/>
    <w:rsid w:val="00CE60C9"/>
    <w:rsid w:val="00CE6809"/>
    <w:rsid w:val="00CE6A70"/>
    <w:rsid w:val="00CE6F22"/>
    <w:rsid w:val="00CE790B"/>
    <w:rsid w:val="00CF014F"/>
    <w:rsid w:val="00CF0DC9"/>
    <w:rsid w:val="00CF1351"/>
    <w:rsid w:val="00CF1B0C"/>
    <w:rsid w:val="00CF2D46"/>
    <w:rsid w:val="00CF2E53"/>
    <w:rsid w:val="00CF322E"/>
    <w:rsid w:val="00CF4E61"/>
    <w:rsid w:val="00CF502A"/>
    <w:rsid w:val="00CF574B"/>
    <w:rsid w:val="00D00D54"/>
    <w:rsid w:val="00D010F2"/>
    <w:rsid w:val="00D03ED8"/>
    <w:rsid w:val="00D0475C"/>
    <w:rsid w:val="00D051F3"/>
    <w:rsid w:val="00D056A1"/>
    <w:rsid w:val="00D05C2E"/>
    <w:rsid w:val="00D06098"/>
    <w:rsid w:val="00D0742A"/>
    <w:rsid w:val="00D075A6"/>
    <w:rsid w:val="00D075CF"/>
    <w:rsid w:val="00D1017C"/>
    <w:rsid w:val="00D103D0"/>
    <w:rsid w:val="00D10CE9"/>
    <w:rsid w:val="00D10EC2"/>
    <w:rsid w:val="00D1262C"/>
    <w:rsid w:val="00D127AD"/>
    <w:rsid w:val="00D12F84"/>
    <w:rsid w:val="00D135A1"/>
    <w:rsid w:val="00D13B51"/>
    <w:rsid w:val="00D13E95"/>
    <w:rsid w:val="00D145B0"/>
    <w:rsid w:val="00D151FB"/>
    <w:rsid w:val="00D15F5E"/>
    <w:rsid w:val="00D17171"/>
    <w:rsid w:val="00D17CB7"/>
    <w:rsid w:val="00D17E1B"/>
    <w:rsid w:val="00D20069"/>
    <w:rsid w:val="00D2167D"/>
    <w:rsid w:val="00D21A59"/>
    <w:rsid w:val="00D21C8E"/>
    <w:rsid w:val="00D224D6"/>
    <w:rsid w:val="00D2298C"/>
    <w:rsid w:val="00D22ADF"/>
    <w:rsid w:val="00D22F3C"/>
    <w:rsid w:val="00D23221"/>
    <w:rsid w:val="00D24C0A"/>
    <w:rsid w:val="00D24F94"/>
    <w:rsid w:val="00D2521F"/>
    <w:rsid w:val="00D2613B"/>
    <w:rsid w:val="00D263A3"/>
    <w:rsid w:val="00D26DE9"/>
    <w:rsid w:val="00D3012C"/>
    <w:rsid w:val="00D326E0"/>
    <w:rsid w:val="00D33627"/>
    <w:rsid w:val="00D33F59"/>
    <w:rsid w:val="00D35644"/>
    <w:rsid w:val="00D35F0E"/>
    <w:rsid w:val="00D36934"/>
    <w:rsid w:val="00D36AF4"/>
    <w:rsid w:val="00D37F03"/>
    <w:rsid w:val="00D40A6A"/>
    <w:rsid w:val="00D419E5"/>
    <w:rsid w:val="00D42302"/>
    <w:rsid w:val="00D42F2F"/>
    <w:rsid w:val="00D435EB"/>
    <w:rsid w:val="00D43964"/>
    <w:rsid w:val="00D43C0C"/>
    <w:rsid w:val="00D44614"/>
    <w:rsid w:val="00D44682"/>
    <w:rsid w:val="00D44902"/>
    <w:rsid w:val="00D44DFC"/>
    <w:rsid w:val="00D44E75"/>
    <w:rsid w:val="00D44FDB"/>
    <w:rsid w:val="00D4520C"/>
    <w:rsid w:val="00D4610A"/>
    <w:rsid w:val="00D46A85"/>
    <w:rsid w:val="00D46BB8"/>
    <w:rsid w:val="00D46C3E"/>
    <w:rsid w:val="00D4757C"/>
    <w:rsid w:val="00D47B26"/>
    <w:rsid w:val="00D47E30"/>
    <w:rsid w:val="00D47FE6"/>
    <w:rsid w:val="00D50B49"/>
    <w:rsid w:val="00D53749"/>
    <w:rsid w:val="00D5379D"/>
    <w:rsid w:val="00D5383C"/>
    <w:rsid w:val="00D53F90"/>
    <w:rsid w:val="00D54260"/>
    <w:rsid w:val="00D5487C"/>
    <w:rsid w:val="00D549ED"/>
    <w:rsid w:val="00D54C93"/>
    <w:rsid w:val="00D55C25"/>
    <w:rsid w:val="00D566EF"/>
    <w:rsid w:val="00D56FBD"/>
    <w:rsid w:val="00D57DE4"/>
    <w:rsid w:val="00D610F0"/>
    <w:rsid w:val="00D613ED"/>
    <w:rsid w:val="00D6215B"/>
    <w:rsid w:val="00D6219A"/>
    <w:rsid w:val="00D62BC4"/>
    <w:rsid w:val="00D62DCA"/>
    <w:rsid w:val="00D636D3"/>
    <w:rsid w:val="00D6379B"/>
    <w:rsid w:val="00D63B40"/>
    <w:rsid w:val="00D641E6"/>
    <w:rsid w:val="00D6508E"/>
    <w:rsid w:val="00D65E9E"/>
    <w:rsid w:val="00D65EA5"/>
    <w:rsid w:val="00D66AD5"/>
    <w:rsid w:val="00D66ED2"/>
    <w:rsid w:val="00D71E0F"/>
    <w:rsid w:val="00D72E30"/>
    <w:rsid w:val="00D73D10"/>
    <w:rsid w:val="00D74122"/>
    <w:rsid w:val="00D74B3F"/>
    <w:rsid w:val="00D75A3C"/>
    <w:rsid w:val="00D765E6"/>
    <w:rsid w:val="00D76A7C"/>
    <w:rsid w:val="00D76EF7"/>
    <w:rsid w:val="00D778C0"/>
    <w:rsid w:val="00D80FE5"/>
    <w:rsid w:val="00D8116D"/>
    <w:rsid w:val="00D81DE9"/>
    <w:rsid w:val="00D820B3"/>
    <w:rsid w:val="00D826F4"/>
    <w:rsid w:val="00D82EE4"/>
    <w:rsid w:val="00D8367B"/>
    <w:rsid w:val="00D8367C"/>
    <w:rsid w:val="00D83A05"/>
    <w:rsid w:val="00D844B1"/>
    <w:rsid w:val="00D84E20"/>
    <w:rsid w:val="00D85097"/>
    <w:rsid w:val="00D853C2"/>
    <w:rsid w:val="00D8736F"/>
    <w:rsid w:val="00D92736"/>
    <w:rsid w:val="00D928E9"/>
    <w:rsid w:val="00D92EB7"/>
    <w:rsid w:val="00D9338B"/>
    <w:rsid w:val="00D93C04"/>
    <w:rsid w:val="00D96FCF"/>
    <w:rsid w:val="00DA0231"/>
    <w:rsid w:val="00DA08DB"/>
    <w:rsid w:val="00DA0C79"/>
    <w:rsid w:val="00DA2284"/>
    <w:rsid w:val="00DA3763"/>
    <w:rsid w:val="00DA3CF2"/>
    <w:rsid w:val="00DA3F9A"/>
    <w:rsid w:val="00DA457E"/>
    <w:rsid w:val="00DA45EF"/>
    <w:rsid w:val="00DA4972"/>
    <w:rsid w:val="00DA56BD"/>
    <w:rsid w:val="00DA6103"/>
    <w:rsid w:val="00DA6977"/>
    <w:rsid w:val="00DA73AF"/>
    <w:rsid w:val="00DA7C10"/>
    <w:rsid w:val="00DA7EC9"/>
    <w:rsid w:val="00DA7F4C"/>
    <w:rsid w:val="00DB0D72"/>
    <w:rsid w:val="00DB1001"/>
    <w:rsid w:val="00DB19A1"/>
    <w:rsid w:val="00DB3AB2"/>
    <w:rsid w:val="00DB407A"/>
    <w:rsid w:val="00DB53B3"/>
    <w:rsid w:val="00DB5556"/>
    <w:rsid w:val="00DB5C0B"/>
    <w:rsid w:val="00DB6007"/>
    <w:rsid w:val="00DB644E"/>
    <w:rsid w:val="00DB65B1"/>
    <w:rsid w:val="00DB6746"/>
    <w:rsid w:val="00DB6F37"/>
    <w:rsid w:val="00DB76D3"/>
    <w:rsid w:val="00DB7B6C"/>
    <w:rsid w:val="00DC07B7"/>
    <w:rsid w:val="00DC143E"/>
    <w:rsid w:val="00DC1A89"/>
    <w:rsid w:val="00DC2213"/>
    <w:rsid w:val="00DC2819"/>
    <w:rsid w:val="00DC2CF6"/>
    <w:rsid w:val="00DC3E1C"/>
    <w:rsid w:val="00DC4037"/>
    <w:rsid w:val="00DC41A7"/>
    <w:rsid w:val="00DC5AE0"/>
    <w:rsid w:val="00DC618F"/>
    <w:rsid w:val="00DC6C8C"/>
    <w:rsid w:val="00DC6DAD"/>
    <w:rsid w:val="00DC734C"/>
    <w:rsid w:val="00DC746E"/>
    <w:rsid w:val="00DD016B"/>
    <w:rsid w:val="00DD1766"/>
    <w:rsid w:val="00DD1D86"/>
    <w:rsid w:val="00DD210B"/>
    <w:rsid w:val="00DD2206"/>
    <w:rsid w:val="00DD2F6A"/>
    <w:rsid w:val="00DD3125"/>
    <w:rsid w:val="00DD4223"/>
    <w:rsid w:val="00DD59D5"/>
    <w:rsid w:val="00DD60B7"/>
    <w:rsid w:val="00DD6196"/>
    <w:rsid w:val="00DD63D2"/>
    <w:rsid w:val="00DD721A"/>
    <w:rsid w:val="00DE231F"/>
    <w:rsid w:val="00DE2A28"/>
    <w:rsid w:val="00DE3E44"/>
    <w:rsid w:val="00DE4F88"/>
    <w:rsid w:val="00DE61B6"/>
    <w:rsid w:val="00DE61EE"/>
    <w:rsid w:val="00DE6600"/>
    <w:rsid w:val="00DE6ECC"/>
    <w:rsid w:val="00DE7C03"/>
    <w:rsid w:val="00DF01E0"/>
    <w:rsid w:val="00DF032A"/>
    <w:rsid w:val="00DF0515"/>
    <w:rsid w:val="00DF07D1"/>
    <w:rsid w:val="00DF10D2"/>
    <w:rsid w:val="00DF229F"/>
    <w:rsid w:val="00DF3E96"/>
    <w:rsid w:val="00DF4562"/>
    <w:rsid w:val="00DF5E0B"/>
    <w:rsid w:val="00DF61A5"/>
    <w:rsid w:val="00DF6A2E"/>
    <w:rsid w:val="00DF6AF6"/>
    <w:rsid w:val="00DF6BA4"/>
    <w:rsid w:val="00E01A21"/>
    <w:rsid w:val="00E0320B"/>
    <w:rsid w:val="00E04312"/>
    <w:rsid w:val="00E04BAE"/>
    <w:rsid w:val="00E04E1E"/>
    <w:rsid w:val="00E05C55"/>
    <w:rsid w:val="00E070E3"/>
    <w:rsid w:val="00E07D82"/>
    <w:rsid w:val="00E07D95"/>
    <w:rsid w:val="00E114C6"/>
    <w:rsid w:val="00E11959"/>
    <w:rsid w:val="00E13EA3"/>
    <w:rsid w:val="00E14DDD"/>
    <w:rsid w:val="00E17321"/>
    <w:rsid w:val="00E173D6"/>
    <w:rsid w:val="00E1772C"/>
    <w:rsid w:val="00E205C1"/>
    <w:rsid w:val="00E20835"/>
    <w:rsid w:val="00E213F0"/>
    <w:rsid w:val="00E224EA"/>
    <w:rsid w:val="00E226CC"/>
    <w:rsid w:val="00E22A1A"/>
    <w:rsid w:val="00E2403F"/>
    <w:rsid w:val="00E24271"/>
    <w:rsid w:val="00E24B01"/>
    <w:rsid w:val="00E26110"/>
    <w:rsid w:val="00E2655B"/>
    <w:rsid w:val="00E26BE3"/>
    <w:rsid w:val="00E26F7E"/>
    <w:rsid w:val="00E30210"/>
    <w:rsid w:val="00E31CC6"/>
    <w:rsid w:val="00E32EC0"/>
    <w:rsid w:val="00E33ED3"/>
    <w:rsid w:val="00E33F66"/>
    <w:rsid w:val="00E36885"/>
    <w:rsid w:val="00E36BA7"/>
    <w:rsid w:val="00E373A9"/>
    <w:rsid w:val="00E37790"/>
    <w:rsid w:val="00E415C8"/>
    <w:rsid w:val="00E433E1"/>
    <w:rsid w:val="00E447FE"/>
    <w:rsid w:val="00E44942"/>
    <w:rsid w:val="00E44973"/>
    <w:rsid w:val="00E458B5"/>
    <w:rsid w:val="00E462B9"/>
    <w:rsid w:val="00E46344"/>
    <w:rsid w:val="00E50BBE"/>
    <w:rsid w:val="00E5243E"/>
    <w:rsid w:val="00E5408B"/>
    <w:rsid w:val="00E56268"/>
    <w:rsid w:val="00E572AD"/>
    <w:rsid w:val="00E57F35"/>
    <w:rsid w:val="00E601C1"/>
    <w:rsid w:val="00E60426"/>
    <w:rsid w:val="00E6289A"/>
    <w:rsid w:val="00E62929"/>
    <w:rsid w:val="00E62AD6"/>
    <w:rsid w:val="00E634F4"/>
    <w:rsid w:val="00E64A39"/>
    <w:rsid w:val="00E64D5E"/>
    <w:rsid w:val="00E6757C"/>
    <w:rsid w:val="00E67DF7"/>
    <w:rsid w:val="00E71623"/>
    <w:rsid w:val="00E71946"/>
    <w:rsid w:val="00E722DA"/>
    <w:rsid w:val="00E727EB"/>
    <w:rsid w:val="00E72D6A"/>
    <w:rsid w:val="00E7307A"/>
    <w:rsid w:val="00E7408F"/>
    <w:rsid w:val="00E74146"/>
    <w:rsid w:val="00E7500B"/>
    <w:rsid w:val="00E75702"/>
    <w:rsid w:val="00E75C2C"/>
    <w:rsid w:val="00E76741"/>
    <w:rsid w:val="00E77CE5"/>
    <w:rsid w:val="00E77DDD"/>
    <w:rsid w:val="00E801C2"/>
    <w:rsid w:val="00E80E66"/>
    <w:rsid w:val="00E80EA0"/>
    <w:rsid w:val="00E82066"/>
    <w:rsid w:val="00E84883"/>
    <w:rsid w:val="00E848DD"/>
    <w:rsid w:val="00E85BF2"/>
    <w:rsid w:val="00E87B05"/>
    <w:rsid w:val="00E91EC8"/>
    <w:rsid w:val="00E9237F"/>
    <w:rsid w:val="00E92619"/>
    <w:rsid w:val="00E93572"/>
    <w:rsid w:val="00E93686"/>
    <w:rsid w:val="00E937B9"/>
    <w:rsid w:val="00E93A94"/>
    <w:rsid w:val="00E93D53"/>
    <w:rsid w:val="00E93EB5"/>
    <w:rsid w:val="00E944B9"/>
    <w:rsid w:val="00E94698"/>
    <w:rsid w:val="00E94EF0"/>
    <w:rsid w:val="00E951B0"/>
    <w:rsid w:val="00E95C2E"/>
    <w:rsid w:val="00E95E1C"/>
    <w:rsid w:val="00EA00F8"/>
    <w:rsid w:val="00EA1989"/>
    <w:rsid w:val="00EA370A"/>
    <w:rsid w:val="00EA39FF"/>
    <w:rsid w:val="00EA3CE5"/>
    <w:rsid w:val="00EA428F"/>
    <w:rsid w:val="00EA596C"/>
    <w:rsid w:val="00EA5B6A"/>
    <w:rsid w:val="00EA61E0"/>
    <w:rsid w:val="00EA75B2"/>
    <w:rsid w:val="00EA76AF"/>
    <w:rsid w:val="00EA78F0"/>
    <w:rsid w:val="00EB0381"/>
    <w:rsid w:val="00EB115C"/>
    <w:rsid w:val="00EB11D3"/>
    <w:rsid w:val="00EB123E"/>
    <w:rsid w:val="00EB1C6F"/>
    <w:rsid w:val="00EB252A"/>
    <w:rsid w:val="00EB2706"/>
    <w:rsid w:val="00EB2AC1"/>
    <w:rsid w:val="00EB3637"/>
    <w:rsid w:val="00EB3800"/>
    <w:rsid w:val="00EB462A"/>
    <w:rsid w:val="00EB70B7"/>
    <w:rsid w:val="00EB7A20"/>
    <w:rsid w:val="00EB7AFD"/>
    <w:rsid w:val="00EB7F22"/>
    <w:rsid w:val="00EC22DF"/>
    <w:rsid w:val="00EC2850"/>
    <w:rsid w:val="00EC29E1"/>
    <w:rsid w:val="00EC3113"/>
    <w:rsid w:val="00EC3247"/>
    <w:rsid w:val="00EC3D02"/>
    <w:rsid w:val="00EC50CF"/>
    <w:rsid w:val="00EC518C"/>
    <w:rsid w:val="00EC5EA7"/>
    <w:rsid w:val="00EC7221"/>
    <w:rsid w:val="00ED0583"/>
    <w:rsid w:val="00ED062A"/>
    <w:rsid w:val="00ED0D74"/>
    <w:rsid w:val="00ED30EB"/>
    <w:rsid w:val="00ED366D"/>
    <w:rsid w:val="00ED37E2"/>
    <w:rsid w:val="00ED4B6D"/>
    <w:rsid w:val="00ED7939"/>
    <w:rsid w:val="00ED7B50"/>
    <w:rsid w:val="00EE00FB"/>
    <w:rsid w:val="00EE046D"/>
    <w:rsid w:val="00EE1B0D"/>
    <w:rsid w:val="00EE2A5E"/>
    <w:rsid w:val="00EE2F88"/>
    <w:rsid w:val="00EE3093"/>
    <w:rsid w:val="00EE6088"/>
    <w:rsid w:val="00EE62BD"/>
    <w:rsid w:val="00EE6E74"/>
    <w:rsid w:val="00EF0E21"/>
    <w:rsid w:val="00EF0E98"/>
    <w:rsid w:val="00EF1A6E"/>
    <w:rsid w:val="00EF1C29"/>
    <w:rsid w:val="00EF22F4"/>
    <w:rsid w:val="00EF23BB"/>
    <w:rsid w:val="00EF2531"/>
    <w:rsid w:val="00EF44ED"/>
    <w:rsid w:val="00EF4A54"/>
    <w:rsid w:val="00EF4C17"/>
    <w:rsid w:val="00EF4E3D"/>
    <w:rsid w:val="00EF5FAB"/>
    <w:rsid w:val="00EF7BF0"/>
    <w:rsid w:val="00F01E85"/>
    <w:rsid w:val="00F04054"/>
    <w:rsid w:val="00F04E88"/>
    <w:rsid w:val="00F05C6B"/>
    <w:rsid w:val="00F05EC1"/>
    <w:rsid w:val="00F06371"/>
    <w:rsid w:val="00F06C33"/>
    <w:rsid w:val="00F06CFE"/>
    <w:rsid w:val="00F07094"/>
    <w:rsid w:val="00F079B8"/>
    <w:rsid w:val="00F10954"/>
    <w:rsid w:val="00F11A32"/>
    <w:rsid w:val="00F12C6E"/>
    <w:rsid w:val="00F13AE0"/>
    <w:rsid w:val="00F14695"/>
    <w:rsid w:val="00F151A4"/>
    <w:rsid w:val="00F15475"/>
    <w:rsid w:val="00F156EF"/>
    <w:rsid w:val="00F16826"/>
    <w:rsid w:val="00F1699E"/>
    <w:rsid w:val="00F17128"/>
    <w:rsid w:val="00F215CE"/>
    <w:rsid w:val="00F21766"/>
    <w:rsid w:val="00F226D4"/>
    <w:rsid w:val="00F235A1"/>
    <w:rsid w:val="00F23AF6"/>
    <w:rsid w:val="00F23DC2"/>
    <w:rsid w:val="00F24A7F"/>
    <w:rsid w:val="00F24C7D"/>
    <w:rsid w:val="00F25D41"/>
    <w:rsid w:val="00F26246"/>
    <w:rsid w:val="00F26382"/>
    <w:rsid w:val="00F27230"/>
    <w:rsid w:val="00F30432"/>
    <w:rsid w:val="00F31FCD"/>
    <w:rsid w:val="00F32065"/>
    <w:rsid w:val="00F3233C"/>
    <w:rsid w:val="00F33948"/>
    <w:rsid w:val="00F342FC"/>
    <w:rsid w:val="00F34877"/>
    <w:rsid w:val="00F34A79"/>
    <w:rsid w:val="00F34D70"/>
    <w:rsid w:val="00F359C7"/>
    <w:rsid w:val="00F36979"/>
    <w:rsid w:val="00F37181"/>
    <w:rsid w:val="00F41D1F"/>
    <w:rsid w:val="00F41F6B"/>
    <w:rsid w:val="00F42B85"/>
    <w:rsid w:val="00F42E26"/>
    <w:rsid w:val="00F438DC"/>
    <w:rsid w:val="00F44745"/>
    <w:rsid w:val="00F448BA"/>
    <w:rsid w:val="00F45F18"/>
    <w:rsid w:val="00F468F1"/>
    <w:rsid w:val="00F47865"/>
    <w:rsid w:val="00F51CDF"/>
    <w:rsid w:val="00F521DC"/>
    <w:rsid w:val="00F5262A"/>
    <w:rsid w:val="00F54202"/>
    <w:rsid w:val="00F54511"/>
    <w:rsid w:val="00F55E0C"/>
    <w:rsid w:val="00F570E5"/>
    <w:rsid w:val="00F5729D"/>
    <w:rsid w:val="00F5794D"/>
    <w:rsid w:val="00F61BB6"/>
    <w:rsid w:val="00F62970"/>
    <w:rsid w:val="00F63118"/>
    <w:rsid w:val="00F63BE7"/>
    <w:rsid w:val="00F644E0"/>
    <w:rsid w:val="00F66745"/>
    <w:rsid w:val="00F6692B"/>
    <w:rsid w:val="00F70002"/>
    <w:rsid w:val="00F712A7"/>
    <w:rsid w:val="00F71FCB"/>
    <w:rsid w:val="00F7293A"/>
    <w:rsid w:val="00F72C92"/>
    <w:rsid w:val="00F736FE"/>
    <w:rsid w:val="00F73B61"/>
    <w:rsid w:val="00F7488E"/>
    <w:rsid w:val="00F75189"/>
    <w:rsid w:val="00F75A8A"/>
    <w:rsid w:val="00F75BDA"/>
    <w:rsid w:val="00F76E50"/>
    <w:rsid w:val="00F80415"/>
    <w:rsid w:val="00F8180C"/>
    <w:rsid w:val="00F81FD0"/>
    <w:rsid w:val="00F8250C"/>
    <w:rsid w:val="00F83110"/>
    <w:rsid w:val="00F83356"/>
    <w:rsid w:val="00F84608"/>
    <w:rsid w:val="00F846F0"/>
    <w:rsid w:val="00F87057"/>
    <w:rsid w:val="00F9088C"/>
    <w:rsid w:val="00F909A3"/>
    <w:rsid w:val="00F90AFE"/>
    <w:rsid w:val="00F90B59"/>
    <w:rsid w:val="00F915FB"/>
    <w:rsid w:val="00F93027"/>
    <w:rsid w:val="00F951B5"/>
    <w:rsid w:val="00F9675F"/>
    <w:rsid w:val="00F972A0"/>
    <w:rsid w:val="00F97B32"/>
    <w:rsid w:val="00F97DD1"/>
    <w:rsid w:val="00FA0DDC"/>
    <w:rsid w:val="00FA0DDE"/>
    <w:rsid w:val="00FA0E0B"/>
    <w:rsid w:val="00FA144D"/>
    <w:rsid w:val="00FA17D4"/>
    <w:rsid w:val="00FA31F6"/>
    <w:rsid w:val="00FA3B96"/>
    <w:rsid w:val="00FA3F24"/>
    <w:rsid w:val="00FA569F"/>
    <w:rsid w:val="00FA59B4"/>
    <w:rsid w:val="00FA5A11"/>
    <w:rsid w:val="00FA65F4"/>
    <w:rsid w:val="00FA669F"/>
    <w:rsid w:val="00FA70C3"/>
    <w:rsid w:val="00FA7AA7"/>
    <w:rsid w:val="00FA7BDE"/>
    <w:rsid w:val="00FB068C"/>
    <w:rsid w:val="00FB0AB9"/>
    <w:rsid w:val="00FB42A5"/>
    <w:rsid w:val="00FB5299"/>
    <w:rsid w:val="00FB70F4"/>
    <w:rsid w:val="00FB73CB"/>
    <w:rsid w:val="00FB7BC7"/>
    <w:rsid w:val="00FC03C1"/>
    <w:rsid w:val="00FC0B0F"/>
    <w:rsid w:val="00FC289E"/>
    <w:rsid w:val="00FC3B71"/>
    <w:rsid w:val="00FC459B"/>
    <w:rsid w:val="00FC5F33"/>
    <w:rsid w:val="00FC61DD"/>
    <w:rsid w:val="00FC71D5"/>
    <w:rsid w:val="00FC75A0"/>
    <w:rsid w:val="00FD04DB"/>
    <w:rsid w:val="00FD0746"/>
    <w:rsid w:val="00FD08D5"/>
    <w:rsid w:val="00FD1F48"/>
    <w:rsid w:val="00FD26EF"/>
    <w:rsid w:val="00FD296A"/>
    <w:rsid w:val="00FD2DE2"/>
    <w:rsid w:val="00FD3DEA"/>
    <w:rsid w:val="00FD4B73"/>
    <w:rsid w:val="00FD4FA6"/>
    <w:rsid w:val="00FD5608"/>
    <w:rsid w:val="00FD6758"/>
    <w:rsid w:val="00FD7C0C"/>
    <w:rsid w:val="00FE0D54"/>
    <w:rsid w:val="00FE10DA"/>
    <w:rsid w:val="00FE2090"/>
    <w:rsid w:val="00FE2BD0"/>
    <w:rsid w:val="00FE2E62"/>
    <w:rsid w:val="00FE2E66"/>
    <w:rsid w:val="00FE4691"/>
    <w:rsid w:val="00FE52C3"/>
    <w:rsid w:val="00FE5609"/>
    <w:rsid w:val="00FE7484"/>
    <w:rsid w:val="00FF0AE8"/>
    <w:rsid w:val="00FF0D39"/>
    <w:rsid w:val="00FF16A0"/>
    <w:rsid w:val="00FF1725"/>
    <w:rsid w:val="00FF1A42"/>
    <w:rsid w:val="00FF1B83"/>
    <w:rsid w:val="00FF20CF"/>
    <w:rsid w:val="00FF27CD"/>
    <w:rsid w:val="00FF2DF0"/>
    <w:rsid w:val="00FF3298"/>
    <w:rsid w:val="00FF4512"/>
    <w:rsid w:val="00FF4B81"/>
    <w:rsid w:val="00FF70E6"/>
    <w:rsid w:val="00FF72A6"/>
    <w:rsid w:val="039D1A99"/>
    <w:rsid w:val="043D68B5"/>
    <w:rsid w:val="06400977"/>
    <w:rsid w:val="069A47DF"/>
    <w:rsid w:val="07DC4F28"/>
    <w:rsid w:val="0C465A58"/>
    <w:rsid w:val="0D3857B5"/>
    <w:rsid w:val="0E53284D"/>
    <w:rsid w:val="0E5456D8"/>
    <w:rsid w:val="0EFB4283"/>
    <w:rsid w:val="0F4E5827"/>
    <w:rsid w:val="122B523F"/>
    <w:rsid w:val="1422183F"/>
    <w:rsid w:val="15853AEF"/>
    <w:rsid w:val="160D4D5E"/>
    <w:rsid w:val="191014DB"/>
    <w:rsid w:val="19D72D72"/>
    <w:rsid w:val="1A576528"/>
    <w:rsid w:val="1D8E274F"/>
    <w:rsid w:val="240C1FE4"/>
    <w:rsid w:val="280478D6"/>
    <w:rsid w:val="29D102C8"/>
    <w:rsid w:val="2D365F3B"/>
    <w:rsid w:val="32310F6C"/>
    <w:rsid w:val="335A1C97"/>
    <w:rsid w:val="33802241"/>
    <w:rsid w:val="355E4F6C"/>
    <w:rsid w:val="35E82679"/>
    <w:rsid w:val="35E82C67"/>
    <w:rsid w:val="35EC1D89"/>
    <w:rsid w:val="36EF1623"/>
    <w:rsid w:val="38B421CF"/>
    <w:rsid w:val="3C142537"/>
    <w:rsid w:val="3E0B6BEF"/>
    <w:rsid w:val="4227750C"/>
    <w:rsid w:val="44FE772F"/>
    <w:rsid w:val="460478AD"/>
    <w:rsid w:val="4E340B35"/>
    <w:rsid w:val="4E7752F7"/>
    <w:rsid w:val="4F724BD7"/>
    <w:rsid w:val="54A10D44"/>
    <w:rsid w:val="55AF1BA2"/>
    <w:rsid w:val="55F07F8F"/>
    <w:rsid w:val="5726041F"/>
    <w:rsid w:val="5CD147FD"/>
    <w:rsid w:val="5F7B43BB"/>
    <w:rsid w:val="6306175A"/>
    <w:rsid w:val="67B12B0D"/>
    <w:rsid w:val="6BE94375"/>
    <w:rsid w:val="6C087061"/>
    <w:rsid w:val="7372005D"/>
    <w:rsid w:val="748F0394"/>
    <w:rsid w:val="773C7ABF"/>
    <w:rsid w:val="79F54814"/>
    <w:rsid w:val="7B6047E9"/>
    <w:rsid w:val="7BC278A0"/>
    <w:rsid w:val="7D4A2890"/>
    <w:rsid w:val="7DAC7DB8"/>
    <w:rsid w:val="7E5E46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Times New Roman" w:eastAsia="仿宋_GB2312" w:cs="Times New Roman"/>
      <w:kern w:val="2"/>
      <w:sz w:val="32"/>
      <w:lang w:val="en-US" w:eastAsia="zh-CN" w:bidi="ar-SA"/>
    </w:rPr>
  </w:style>
  <w:style w:type="paragraph" w:styleId="3">
    <w:name w:val="heading 1"/>
    <w:basedOn w:val="1"/>
    <w:next w:val="1"/>
    <w:link w:val="18"/>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22"/>
    <w:qFormat/>
    <w:uiPriority w:val="9"/>
    <w:pPr>
      <w:keepNext/>
      <w:keepLines/>
      <w:spacing w:line="360" w:lineRule="auto"/>
      <w:ind w:firstLine="200" w:firstLineChars="200"/>
      <w:jc w:val="left"/>
      <w:outlineLvl w:val="1"/>
    </w:pPr>
    <w:rPr>
      <w:rFonts w:ascii="Cambria" w:hAnsi="Cambria" w:eastAsia="黑体"/>
      <w:b/>
      <w:bCs/>
      <w:kern w:val="0"/>
      <w:sz w:val="28"/>
      <w:szCs w:val="32"/>
    </w:rPr>
  </w:style>
  <w:style w:type="paragraph" w:styleId="5">
    <w:name w:val="heading 3"/>
    <w:basedOn w:val="1"/>
    <w:next w:val="1"/>
    <w:link w:val="20"/>
    <w:qFormat/>
    <w:uiPriority w:val="9"/>
    <w:pPr>
      <w:keepNext/>
      <w:keepLines/>
      <w:spacing w:line="360" w:lineRule="auto"/>
      <w:ind w:firstLine="200" w:firstLineChars="200"/>
      <w:jc w:val="left"/>
      <w:outlineLvl w:val="2"/>
    </w:pPr>
    <w:rPr>
      <w:rFonts w:hAnsi="仿宋_GB2312"/>
      <w:b/>
      <w:bCs/>
      <w:kern w:val="0"/>
      <w:sz w:val="28"/>
      <w:szCs w:val="32"/>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toc 1"/>
    <w:basedOn w:val="1"/>
    <w:next w:val="1"/>
    <w:unhideWhenUsed/>
    <w:qFormat/>
    <w:uiPriority w:val="39"/>
    <w:pPr>
      <w:tabs>
        <w:tab w:val="right" w:leader="dot" w:pos="8296"/>
      </w:tabs>
      <w:spacing w:line="460" w:lineRule="exact"/>
    </w:pPr>
    <w:rPr>
      <w:b/>
    </w:rPr>
  </w:style>
  <w:style w:type="paragraph" w:styleId="6">
    <w:name w:val="annotation text"/>
    <w:basedOn w:val="1"/>
    <w:link w:val="24"/>
    <w:unhideWhenUsed/>
    <w:qFormat/>
    <w:uiPriority w:val="99"/>
    <w:pPr>
      <w:jc w:val="left"/>
    </w:pPr>
  </w:style>
  <w:style w:type="paragraph" w:styleId="7">
    <w:name w:val="toc 3"/>
    <w:basedOn w:val="1"/>
    <w:next w:val="1"/>
    <w:unhideWhenUsed/>
    <w:qFormat/>
    <w:uiPriority w:val="39"/>
    <w:pPr>
      <w:ind w:left="840" w:leftChars="400"/>
    </w:pPr>
  </w:style>
  <w:style w:type="paragraph" w:styleId="8">
    <w:name w:val="Balloon Text"/>
    <w:basedOn w:val="1"/>
    <w:link w:val="26"/>
    <w:semiHidden/>
    <w:unhideWhenUsed/>
    <w:qFormat/>
    <w:uiPriority w:val="99"/>
    <w:rPr>
      <w:sz w:val="18"/>
      <w:szCs w:val="18"/>
    </w:rPr>
  </w:style>
  <w:style w:type="paragraph" w:styleId="9">
    <w:name w:val="footer"/>
    <w:basedOn w:val="1"/>
    <w:link w:val="28"/>
    <w:unhideWhenUsed/>
    <w:qFormat/>
    <w:uiPriority w:val="99"/>
    <w:pPr>
      <w:tabs>
        <w:tab w:val="center" w:pos="4153"/>
        <w:tab w:val="right" w:pos="8306"/>
      </w:tabs>
      <w:snapToGrid w:val="0"/>
      <w:jc w:val="left"/>
    </w:pPr>
    <w:rPr>
      <w:sz w:val="18"/>
      <w:szCs w:val="18"/>
    </w:rPr>
  </w:style>
  <w:style w:type="paragraph" w:styleId="10">
    <w:name w:val="header"/>
    <w:basedOn w:val="1"/>
    <w:link w:val="27"/>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toc 2"/>
    <w:basedOn w:val="1"/>
    <w:next w:val="1"/>
    <w:unhideWhenUsed/>
    <w:qFormat/>
    <w:uiPriority w:val="39"/>
    <w:pPr>
      <w:tabs>
        <w:tab w:val="right" w:leader="dot" w:pos="8296"/>
      </w:tabs>
    </w:pPr>
    <w:rPr>
      <w:rFonts w:ascii="Times New Roman"/>
      <w:b/>
      <w:bCs/>
      <w:szCs w:val="32"/>
    </w:rPr>
  </w:style>
  <w:style w:type="paragraph" w:styleId="12">
    <w:name w:val="annotation subject"/>
    <w:basedOn w:val="6"/>
    <w:next w:val="6"/>
    <w:link w:val="25"/>
    <w:semiHidden/>
    <w:unhideWhenUsed/>
    <w:qFormat/>
    <w:uiPriority w:val="99"/>
    <w:rPr>
      <w:b/>
      <w:bCs/>
    </w:rPr>
  </w:style>
  <w:style w:type="table" w:styleId="14">
    <w:name w:val="Table Grid"/>
    <w:basedOn w:val="13"/>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Hyperlink"/>
    <w:basedOn w:val="15"/>
    <w:unhideWhenUsed/>
    <w:qFormat/>
    <w:uiPriority w:val="99"/>
    <w:rPr>
      <w:color w:val="0000FF" w:themeColor="hyperlink"/>
      <w:u w:val="single"/>
      <w14:textFill>
        <w14:solidFill>
          <w14:schemeClr w14:val="hlink"/>
        </w14:solidFill>
      </w14:textFill>
    </w:rPr>
  </w:style>
  <w:style w:type="character" w:styleId="17">
    <w:name w:val="annotation reference"/>
    <w:basedOn w:val="15"/>
    <w:semiHidden/>
    <w:unhideWhenUsed/>
    <w:qFormat/>
    <w:uiPriority w:val="99"/>
    <w:rPr>
      <w:sz w:val="21"/>
      <w:szCs w:val="21"/>
    </w:rPr>
  </w:style>
  <w:style w:type="character" w:customStyle="1" w:styleId="18">
    <w:name w:val="标题 1 字符"/>
    <w:basedOn w:val="15"/>
    <w:link w:val="3"/>
    <w:qFormat/>
    <w:uiPriority w:val="9"/>
    <w:rPr>
      <w:rFonts w:ascii="仿宋_GB2312" w:hAnsi="Times New Roman" w:eastAsia="仿宋_GB2312" w:cs="Times New Roman"/>
      <w:b/>
      <w:bCs/>
      <w:kern w:val="44"/>
      <w:sz w:val="44"/>
      <w:szCs w:val="44"/>
    </w:rPr>
  </w:style>
  <w:style w:type="character" w:customStyle="1" w:styleId="19">
    <w:name w:val="标题 3 字符"/>
    <w:basedOn w:val="15"/>
    <w:semiHidden/>
    <w:qFormat/>
    <w:uiPriority w:val="9"/>
    <w:rPr>
      <w:rFonts w:ascii="仿宋_GB2312" w:hAnsi="Times New Roman" w:eastAsia="仿宋_GB2312" w:cs="Times New Roman"/>
      <w:b/>
      <w:bCs/>
      <w:sz w:val="32"/>
      <w:szCs w:val="32"/>
    </w:rPr>
  </w:style>
  <w:style w:type="character" w:customStyle="1" w:styleId="20">
    <w:name w:val="标题 3 字符1"/>
    <w:link w:val="5"/>
    <w:qFormat/>
    <w:uiPriority w:val="9"/>
    <w:rPr>
      <w:rFonts w:ascii="仿宋_GB2312" w:hAnsi="仿宋_GB2312" w:eastAsia="仿宋_GB2312" w:cs="Times New Roman"/>
      <w:b/>
      <w:bCs/>
      <w:kern w:val="0"/>
      <w:sz w:val="28"/>
      <w:szCs w:val="32"/>
    </w:rPr>
  </w:style>
  <w:style w:type="character" w:customStyle="1" w:styleId="21">
    <w:name w:val="标题 2 字符"/>
    <w:basedOn w:val="15"/>
    <w:semiHidden/>
    <w:qFormat/>
    <w:uiPriority w:val="9"/>
    <w:rPr>
      <w:rFonts w:asciiTheme="majorHAnsi" w:hAnsiTheme="majorHAnsi" w:eastAsiaTheme="majorEastAsia" w:cstheme="majorBidi"/>
      <w:b/>
      <w:bCs/>
      <w:sz w:val="32"/>
      <w:szCs w:val="32"/>
    </w:rPr>
  </w:style>
  <w:style w:type="character" w:customStyle="1" w:styleId="22">
    <w:name w:val="标题 2 字符1"/>
    <w:link w:val="4"/>
    <w:qFormat/>
    <w:uiPriority w:val="9"/>
    <w:rPr>
      <w:rFonts w:ascii="Cambria" w:hAnsi="Cambria" w:eastAsia="黑体" w:cs="Times New Roman"/>
      <w:b/>
      <w:bCs/>
      <w:kern w:val="0"/>
      <w:sz w:val="28"/>
      <w:szCs w:val="32"/>
    </w:rPr>
  </w:style>
  <w:style w:type="paragraph" w:styleId="23">
    <w:name w:val="List Paragraph"/>
    <w:basedOn w:val="1"/>
    <w:qFormat/>
    <w:uiPriority w:val="34"/>
    <w:pPr>
      <w:ind w:firstLine="420" w:firstLineChars="200"/>
    </w:pPr>
  </w:style>
  <w:style w:type="character" w:customStyle="1" w:styleId="24">
    <w:name w:val="批注文字 字符"/>
    <w:basedOn w:val="15"/>
    <w:link w:val="6"/>
    <w:qFormat/>
    <w:uiPriority w:val="99"/>
    <w:rPr>
      <w:rFonts w:ascii="仿宋_GB2312" w:hAnsi="Times New Roman" w:eastAsia="仿宋_GB2312" w:cs="Times New Roman"/>
      <w:sz w:val="32"/>
      <w:szCs w:val="20"/>
    </w:rPr>
  </w:style>
  <w:style w:type="character" w:customStyle="1" w:styleId="25">
    <w:name w:val="批注主题 字符"/>
    <w:basedOn w:val="24"/>
    <w:link w:val="12"/>
    <w:semiHidden/>
    <w:qFormat/>
    <w:uiPriority w:val="99"/>
    <w:rPr>
      <w:rFonts w:ascii="仿宋_GB2312" w:hAnsi="Times New Roman" w:eastAsia="仿宋_GB2312" w:cs="Times New Roman"/>
      <w:b/>
      <w:bCs/>
      <w:sz w:val="32"/>
      <w:szCs w:val="20"/>
    </w:rPr>
  </w:style>
  <w:style w:type="character" w:customStyle="1" w:styleId="26">
    <w:name w:val="批注框文本 字符"/>
    <w:basedOn w:val="15"/>
    <w:link w:val="8"/>
    <w:semiHidden/>
    <w:qFormat/>
    <w:uiPriority w:val="99"/>
    <w:rPr>
      <w:rFonts w:ascii="仿宋_GB2312" w:hAnsi="Times New Roman" w:eastAsia="仿宋_GB2312" w:cs="Times New Roman"/>
      <w:sz w:val="18"/>
      <w:szCs w:val="18"/>
    </w:rPr>
  </w:style>
  <w:style w:type="character" w:customStyle="1" w:styleId="27">
    <w:name w:val="页眉 字符"/>
    <w:basedOn w:val="15"/>
    <w:link w:val="10"/>
    <w:qFormat/>
    <w:uiPriority w:val="99"/>
    <w:rPr>
      <w:rFonts w:ascii="仿宋_GB2312" w:hAnsi="Times New Roman" w:eastAsia="仿宋_GB2312" w:cs="Times New Roman"/>
      <w:sz w:val="18"/>
      <w:szCs w:val="18"/>
    </w:rPr>
  </w:style>
  <w:style w:type="character" w:customStyle="1" w:styleId="28">
    <w:name w:val="页脚 字符"/>
    <w:basedOn w:val="15"/>
    <w:link w:val="9"/>
    <w:qFormat/>
    <w:uiPriority w:val="99"/>
    <w:rPr>
      <w:rFonts w:ascii="仿宋_GB2312" w:hAnsi="Times New Roman" w:eastAsia="仿宋_GB2312" w:cs="Times New Roman"/>
      <w:sz w:val="18"/>
      <w:szCs w:val="18"/>
    </w:rPr>
  </w:style>
  <w:style w:type="paragraph" w:customStyle="1" w:styleId="29">
    <w:name w:val="TOC 标题1"/>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376092" w:themeColor="accent1" w:themeShade="BF"/>
      <w:kern w:val="0"/>
      <w:sz w:val="32"/>
      <w:szCs w:val="32"/>
    </w:rPr>
  </w:style>
  <w:style w:type="character" w:customStyle="1" w:styleId="30">
    <w:name w:val="未处理的提及1"/>
    <w:basedOn w:val="15"/>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27</Pages>
  <Words>1401</Words>
  <Characters>1717</Characters>
  <Lines>89</Lines>
  <Paragraphs>25</Paragraphs>
  <TotalTime>237</TotalTime>
  <ScaleCrop>false</ScaleCrop>
  <LinksUpToDate>false</LinksUpToDate>
  <CharactersWithSpaces>1955</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2022-11-23T12:30:00Z</dcterms:created>
  <dc:creator>cwc</dc:creator>
  <cp:lastModifiedBy>How</cp:lastModifiedBy>
  <cp:lastPrinted>2020-11-03T03:57:00Z</cp:lastPrinted>
  <dcterms:modified xsi:type="dcterms:W3CDTF">2025-02-27T01:22:41Z</dcterms:modified>
  <cp:revision>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F1F4A5DC478C4E5ABDE3F244DB452B7C_13</vt:lpwstr>
  </property>
</Properties>
</file>