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val="en-US" w:eastAsia="zh-CN"/>
        </w:rPr>
        <w:t>区政数局2022年</w:t>
      </w:r>
      <w:r>
        <w:rPr>
          <w:rFonts w:hint="eastAsia" w:ascii="方正小标宋_GBK" w:hAnsi="方正小标宋_GBK" w:eastAsia="方正小标宋_GBK" w:cs="方正小标宋_GBK"/>
          <w:b w:val="0"/>
          <w:bCs w:val="0"/>
          <w:color w:val="auto"/>
          <w:sz w:val="44"/>
          <w:szCs w:val="44"/>
        </w:rPr>
        <w:t>政府信息公开工作年度报告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2" w:lineRule="auto"/>
        <w:ind w:left="0" w:firstLine="420"/>
        <w:jc w:val="both"/>
        <w:textAlignment w:val="auto"/>
        <w:rPr>
          <w:rFonts w:hint="eastAsia" w:ascii="宋体" w:hAnsi="宋体" w:eastAsia="宋体" w:cs="宋体"/>
          <w:color w:val="auto"/>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一、总体情况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中华人民共和国政府信息公开条例》要求，特向社会公开2022年度由西塞山区政数局编制的政府信息公开年度报告。全文包括政府信息主动公开情况;政府信息依申请公开和不予公开情况;行政复议和行政诉讼情况;存在的主要问题和改进情况。本报告中所列数据的统计期限自2022年1月1日起至2022年12月31日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righ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（1）政府信息主动公开情况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right="0" w:firstLine="640" w:firstLineChars="200"/>
        <w:jc w:val="both"/>
        <w:textAlignment w:val="auto"/>
        <w:rPr>
          <w:rFonts w:hint="default" w:ascii="仿宋" w:hAnsi="仿宋" w:eastAsia="仿宋_GB2312"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区政数局作为西塞山区</w:t>
      </w:r>
      <w:r>
        <w:rPr>
          <w:rFonts w:ascii="Times New Roman" w:hAnsi="Times New Roman" w:eastAsia="仿宋_GB2312" w:cs="Times New Roman"/>
          <w:color w:val="auto"/>
          <w:sz w:val="32"/>
          <w:szCs w:val="32"/>
        </w:rPr>
        <w:t>政府信息公开工作机构</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常态化负责全区各部门政务信息挂网工作，</w:t>
      </w:r>
      <w:r>
        <w:rPr>
          <w:rFonts w:hint="eastAsia" w:ascii="仿宋" w:hAnsi="仿宋" w:eastAsia="仿宋" w:cs="仿宋"/>
          <w:color w:val="auto"/>
          <w:kern w:val="0"/>
          <w:sz w:val="32"/>
          <w:szCs w:val="32"/>
          <w:lang w:val="en-US" w:eastAsia="zh-CN" w:bidi="ar"/>
        </w:rPr>
        <w:t>全年主动公开本部门制作信息7条。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righ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（2）政府信息依申请公开情况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right="0" w:firstLine="640" w:firstLineChars="200"/>
        <w:jc w:val="both"/>
        <w:textAlignment w:val="auto"/>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我局全年未收到群众申请公开本部门信息。作为西塞山区</w:t>
      </w:r>
      <w:r>
        <w:rPr>
          <w:rFonts w:ascii="Times New Roman" w:hAnsi="Times New Roman" w:eastAsia="仿宋_GB2312" w:cs="Times New Roman"/>
          <w:color w:val="auto"/>
          <w:sz w:val="32"/>
          <w:szCs w:val="32"/>
        </w:rPr>
        <w:t>政府信息公开工作机构</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收到群众向西塞山区政府申请公开信息5人6次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righ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（3）政府信息管理情况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righ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我局严格按照省、市和区级主管部门要求管理政府信息。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righ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（4）政府信息公开平台建设情况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righ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区政数局认真学习贯彻《省人民政府办事厅关于规范政府信息公开平台建设有关事项的通知》，积极主动向技术公司沟通请教，不断提升自身网站业务工作水平，根据实际工作调整栏目设置，常态化组织各部门按照要求和栏目归属更新平台信息内容。9月，在市政数局的统一领导和区政府办授权认可下将政府网站数据备案并迁移至市局平台，完善IPV6升级改造工作，进一步确保平台升级和数据安全两相统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560" w:lineRule="exact"/>
        <w:ind w:left="0" w:righ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（5）监督保障情况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6" w:firstLineChars="200"/>
        <w:textAlignment w:val="auto"/>
        <w:rPr>
          <w:rFonts w:hint="default" w:ascii="仿宋_GB2312" w:hAnsi="仿宋_GB2312" w:eastAsia="仿宋_GB2312" w:cs="仿宋_GB2312"/>
          <w:color w:val="auto"/>
          <w:sz w:val="32"/>
          <w:szCs w:val="40"/>
          <w:highlight w:val="none"/>
          <w:lang w:val="en-US" w:eastAsia="zh-CN"/>
        </w:rPr>
      </w:pPr>
      <w:r>
        <w:rPr>
          <w:rStyle w:val="9"/>
          <w:rFonts w:hint="eastAsia" w:ascii="仿宋_GB2312" w:hAnsi="仿宋_GB2312" w:eastAsia="仿宋_GB2312" w:cs="仿宋_GB2312"/>
          <w:b w:val="0"/>
          <w:bCs/>
          <w:color w:val="auto"/>
          <w:spacing w:val="24"/>
          <w:sz w:val="32"/>
          <w:szCs w:val="32"/>
          <w:lang w:val="en-US" w:eastAsia="zh-CN"/>
        </w:rPr>
        <w:t>一是</w:t>
      </w:r>
      <w:r>
        <w:rPr>
          <w:rFonts w:hint="eastAsia" w:ascii="仿宋_GB2312" w:hAnsi="仿宋_GB2312" w:eastAsia="仿宋_GB2312" w:cs="仿宋_GB2312"/>
          <w:i w:val="0"/>
          <w:iCs w:val="0"/>
          <w:caps w:val="0"/>
          <w:color w:val="auto"/>
          <w:spacing w:val="0"/>
          <w:sz w:val="32"/>
          <w:szCs w:val="32"/>
          <w:shd w:val="clear" w:color="auto" w:fill="FFFFFF"/>
          <w:lang w:val="en-US" w:eastAsia="zh-CN"/>
        </w:rPr>
        <w:t>依托市级监测坚持对信息公开、互动交流、功能应用、集约化建设、政务新媒体、管理保障等方面进行自查整改，对于可立即整改的，行之有效的组织跨部门落实，对于历史遗留等疑难，详细梳理上报主管部门和政务督查室寻求督办解决。二是根据</w:t>
      </w:r>
      <w:r>
        <w:rPr>
          <w:rStyle w:val="9"/>
          <w:rFonts w:hint="eastAsia" w:ascii="仿宋_GB2312" w:hAnsi="仿宋_GB2312" w:eastAsia="仿宋_GB2312" w:cs="仿宋_GB2312"/>
          <w:b w:val="0"/>
          <w:bCs/>
          <w:color w:val="auto"/>
          <w:spacing w:val="24"/>
          <w:sz w:val="32"/>
          <w:szCs w:val="32"/>
          <w:lang w:val="en-US" w:eastAsia="zh-CN"/>
        </w:rPr>
        <w:t>年度政务公开工作要点，围绕各责任部门主动公开、依申请公开、年度重点工作和日常工作成效组织政务公开工作考评，并上级部门积极争取，将政务公开纳入我区年度量质化考核。</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二、主动公开政府信息情况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本年度主动公开政府信息数量统计如下表：</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0" w:type="dxa"/>
          <w:bottom w:w="0" w:type="dxa"/>
          <w:right w:w="0" w:type="dxa"/>
        </w:tblCellMar>
      </w:tblPr>
      <w:tblGrid>
        <w:gridCol w:w="2239"/>
        <w:gridCol w:w="2239"/>
        <w:gridCol w:w="2240"/>
        <w:gridCol w:w="2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1250" w:type="pct"/>
            <w:tcBorders>
              <w:top w:val="single" w:color="auto" w:sz="8" w:space="0"/>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Calibri" w:hAnsi="Calibri" w:eastAsia="宋体" w:cs="Calibri"/>
                <w:color w:val="auto"/>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2</w:t>
            </w:r>
          </w:p>
        </w:tc>
        <w:tc>
          <w:tcPr>
            <w:tcW w:w="1250" w:type="pct"/>
            <w:tcBorders>
              <w:top w:val="nil"/>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Calibri" w:hAnsi="Calibri" w:eastAsia="宋体" w:cs="Calibri"/>
                <w:color w:val="auto"/>
                <w:kern w:val="2"/>
                <w:sz w:val="21"/>
                <w:szCs w:val="21"/>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eastAsiaTheme="minorEastAsia"/>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eastAsiaTheme="minorEastAsia"/>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三、收到和处理政府信息公开申请情况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本年度收到申请为0，作为</w:t>
      </w:r>
      <w:r>
        <w:rPr>
          <w:rFonts w:ascii="Times New Roman" w:hAnsi="Times New Roman" w:eastAsia="仿宋_GB2312" w:cs="Times New Roman"/>
          <w:color w:val="auto"/>
          <w:sz w:val="32"/>
          <w:szCs w:val="32"/>
        </w:rPr>
        <w:t>政府信息公开工作机构</w:t>
      </w:r>
      <w:r>
        <w:rPr>
          <w:rFonts w:hint="eastAsia" w:ascii="Times New Roman" w:hAnsi="Times New Roman" w:eastAsia="仿宋_GB2312" w:cs="Times New Roman"/>
          <w:color w:val="auto"/>
          <w:sz w:val="32"/>
          <w:szCs w:val="32"/>
          <w:lang w:val="en-US" w:eastAsia="zh-CN"/>
        </w:rPr>
        <w:t>处理政府信息公开申请数量总计为6，具体情况统计如下表：</w:t>
      </w:r>
    </w:p>
    <w:tbl>
      <w:tblPr>
        <w:tblStyle w:val="7"/>
        <w:tblW w:w="4942"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84"/>
        <w:gridCol w:w="839"/>
        <w:gridCol w:w="2995"/>
        <w:gridCol w:w="623"/>
        <w:gridCol w:w="623"/>
        <w:gridCol w:w="623"/>
        <w:gridCol w:w="623"/>
        <w:gridCol w:w="623"/>
        <w:gridCol w:w="638"/>
        <w:gridCol w:w="63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color w:val="auto"/>
              </w:rPr>
            </w:pPr>
            <w:r>
              <w:rPr>
                <w:rFonts w:hint="eastAsia" w:ascii="楷体" w:hAnsi="楷体" w:eastAsia="楷体" w:cs="楷体"/>
                <w:color w:val="auto"/>
                <w:kern w:val="0"/>
                <w:sz w:val="20"/>
                <w:szCs w:val="20"/>
                <w:lang w:val="en-US" w:eastAsia="zh-CN" w:bidi="ar"/>
              </w:rPr>
              <w:t>（本列数据的勾稽关系为：第一项加第二项之和，等于第三项加第四项之和）</w:t>
            </w:r>
          </w:p>
        </w:tc>
        <w:tc>
          <w:tcPr>
            <w:tcW w:w="2462"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0" w:type="pct"/>
            <w:vMerge w:val="restar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法人或其他组织</w:t>
            </w:r>
          </w:p>
        </w:tc>
        <w:tc>
          <w:tcPr>
            <w:tcW w:w="353"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0" w:type="pct"/>
            <w:vMerge w:val="continue"/>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企业</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机构</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社会公益组织</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法律服务机构</w:t>
            </w:r>
          </w:p>
        </w:tc>
        <w:tc>
          <w:tcPr>
            <w:tcW w:w="3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w:t>
            </w:r>
          </w:p>
        </w:tc>
        <w:tc>
          <w:tcPr>
            <w:tcW w:w="353" w:type="pct"/>
            <w:vMerge w:val="continue"/>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一、本年新收政府信息公开申请数量</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二、上年结转政府信息公开申请数量</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（一）予以公开</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（二）部分公开（区分处理的，只计这一情形，不计其他情形）</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（三）不予公开</w:t>
            </w: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1.属于国家秘密</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2.其他法律行政法规禁止公开</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3.危及“三安全一稳定”</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4.保护第三方合法权益</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5.属于三类内部事务信息</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6.属于四类过程性信息</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7.属于行政执法案卷</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8.属于行政查询事项</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（四）无法提供</w:t>
            </w: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1.本机关不掌握相关政府信息</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2.没有现成信息需要另行制作</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3.补正后申请内容仍不明确</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（五）不予处理</w:t>
            </w: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1.信访举报投诉类申请</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2.重复申请</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3.要求提供公开出版物</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4.无正当理由大量反复申请</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5.要求行政机关确认或重新出具已获取信息</w:t>
            </w:r>
          </w:p>
        </w:tc>
        <w:tc>
          <w:tcPr>
            <w:tcW w:w="350"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（六）其他处理</w:t>
            </w:r>
          </w:p>
        </w:tc>
        <w:tc>
          <w:tcPr>
            <w:tcW w:w="168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1.申请人无正当理由逾期不补正、行政机关不再处理其政府信息公开申请</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2.申请人逾期未按收费通知要求缴纳费用、行政机关不再处理其政府信息公开申请</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3.其他</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（七）总计</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四、结转下年度继续办理</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3" w:type="pct"/>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both"/>
        <w:textAlignment w:val="auto"/>
        <w:rPr>
          <w:rFonts w:hint="eastAsia" w:ascii="宋体" w:hAnsi="宋体" w:eastAsia="宋体" w:cs="宋体"/>
          <w:color w:val="auto"/>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四、政府信息公开行政复议、行政诉讼情况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本年度未因信息公开引起的行政复议、行政诉讼，具体情况统计如下表：</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0"/>
        <w:gridCol w:w="600"/>
        <w:gridCol w:w="600"/>
        <w:gridCol w:w="600"/>
        <w:gridCol w:w="616"/>
        <w:gridCol w:w="600"/>
        <w:gridCol w:w="600"/>
        <w:gridCol w:w="601"/>
        <w:gridCol w:w="601"/>
        <w:gridCol w:w="614"/>
        <w:gridCol w:w="601"/>
        <w:gridCol w:w="601"/>
        <w:gridCol w:w="603"/>
        <w:gridCol w:w="603"/>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333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结果维持</w:t>
            </w:r>
          </w:p>
        </w:tc>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五、存在的主要问题及改进情况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（1）上年度存在的问题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6" w:firstLineChars="200"/>
        <w:textAlignment w:val="auto"/>
        <w:rPr>
          <w:rStyle w:val="9"/>
          <w:rFonts w:hint="eastAsia" w:ascii="仿宋_GB2312" w:hAnsi="仿宋_GB2312" w:eastAsia="仿宋_GB2312" w:cs="仿宋_GB2312"/>
          <w:b w:val="0"/>
          <w:bCs/>
          <w:color w:val="auto"/>
          <w:spacing w:val="24"/>
          <w:sz w:val="32"/>
          <w:szCs w:val="32"/>
        </w:rPr>
      </w:pPr>
      <w:r>
        <w:rPr>
          <w:rStyle w:val="9"/>
          <w:rFonts w:hint="eastAsia" w:ascii="仿宋_GB2312" w:hAnsi="仿宋_GB2312" w:eastAsia="仿宋_GB2312" w:cs="仿宋_GB2312"/>
          <w:b w:val="0"/>
          <w:bCs/>
          <w:color w:val="auto"/>
          <w:spacing w:val="24"/>
          <w:sz w:val="32"/>
          <w:szCs w:val="32"/>
        </w:rPr>
        <w:t>1.</w:t>
      </w:r>
      <w:r>
        <w:rPr>
          <w:rStyle w:val="9"/>
          <w:rFonts w:hint="eastAsia" w:ascii="仿宋_GB2312" w:hAnsi="仿宋_GB2312" w:eastAsia="仿宋_GB2312" w:cs="仿宋_GB2312"/>
          <w:b w:val="0"/>
          <w:bCs/>
          <w:color w:val="auto"/>
          <w:spacing w:val="24"/>
          <w:sz w:val="32"/>
          <w:szCs w:val="32"/>
          <w:lang w:eastAsia="zh-CN"/>
        </w:rPr>
        <w:t>组织公开</w:t>
      </w:r>
      <w:r>
        <w:rPr>
          <w:rStyle w:val="9"/>
          <w:rFonts w:hint="eastAsia" w:ascii="仿宋_GB2312" w:hAnsi="仿宋_GB2312" w:eastAsia="仿宋_GB2312" w:cs="仿宋_GB2312"/>
          <w:b w:val="0"/>
          <w:bCs/>
          <w:color w:val="auto"/>
          <w:spacing w:val="24"/>
          <w:sz w:val="32"/>
          <w:szCs w:val="32"/>
        </w:rPr>
        <w:t>力度</w:t>
      </w:r>
      <w:r>
        <w:rPr>
          <w:rStyle w:val="9"/>
          <w:rFonts w:hint="eastAsia" w:ascii="仿宋_GB2312" w:hAnsi="仿宋_GB2312" w:eastAsia="仿宋_GB2312" w:cs="仿宋_GB2312"/>
          <w:b w:val="0"/>
          <w:bCs/>
          <w:color w:val="auto"/>
          <w:spacing w:val="24"/>
          <w:sz w:val="32"/>
          <w:szCs w:val="32"/>
          <w:lang w:eastAsia="zh-CN"/>
        </w:rPr>
        <w:t>不足</w:t>
      </w:r>
      <w:r>
        <w:rPr>
          <w:rStyle w:val="9"/>
          <w:rFonts w:hint="eastAsia" w:ascii="仿宋_GB2312" w:hAnsi="仿宋_GB2312" w:eastAsia="仿宋_GB2312" w:cs="仿宋_GB2312"/>
          <w:b w:val="0"/>
          <w:bCs/>
          <w:color w:val="auto"/>
          <w:spacing w:val="24"/>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736" w:firstLineChars="200"/>
        <w:jc w:val="both"/>
        <w:textAlignment w:val="auto"/>
        <w:rPr>
          <w:rStyle w:val="9"/>
          <w:rFonts w:hint="eastAsia" w:ascii="仿宋_GB2312" w:hAnsi="仿宋_GB2312" w:eastAsia="仿宋_GB2312" w:cs="仿宋_GB2312"/>
          <w:b w:val="0"/>
          <w:bCs/>
          <w:color w:val="auto"/>
          <w:spacing w:val="24"/>
          <w:sz w:val="32"/>
          <w:szCs w:val="32"/>
        </w:rPr>
      </w:pPr>
      <w:r>
        <w:rPr>
          <w:rStyle w:val="9"/>
          <w:rFonts w:hint="eastAsia" w:ascii="仿宋_GB2312" w:hAnsi="仿宋_GB2312" w:eastAsia="仿宋_GB2312" w:cs="仿宋_GB2312"/>
          <w:b w:val="0"/>
          <w:bCs/>
          <w:color w:val="auto"/>
          <w:spacing w:val="24"/>
          <w:sz w:val="32"/>
          <w:szCs w:val="32"/>
          <w:lang w:val="en-US" w:eastAsia="zh-CN"/>
        </w:rPr>
        <w:t>2</w:t>
      </w:r>
      <w:r>
        <w:rPr>
          <w:rStyle w:val="9"/>
          <w:rFonts w:hint="eastAsia" w:ascii="仿宋_GB2312" w:hAnsi="仿宋_GB2312" w:eastAsia="仿宋_GB2312" w:cs="仿宋_GB2312"/>
          <w:b w:val="0"/>
          <w:bCs/>
          <w:color w:val="auto"/>
          <w:spacing w:val="24"/>
          <w:sz w:val="32"/>
          <w:szCs w:val="32"/>
        </w:rPr>
        <w:t>.队伍</w:t>
      </w:r>
      <w:r>
        <w:rPr>
          <w:rStyle w:val="9"/>
          <w:rFonts w:hint="eastAsia" w:ascii="仿宋_GB2312" w:hAnsi="仿宋_GB2312" w:eastAsia="仿宋_GB2312" w:cs="仿宋_GB2312"/>
          <w:b w:val="0"/>
          <w:bCs/>
          <w:color w:val="auto"/>
          <w:spacing w:val="24"/>
          <w:sz w:val="32"/>
          <w:szCs w:val="32"/>
          <w:lang w:eastAsia="zh-CN"/>
        </w:rPr>
        <w:t>公开</w:t>
      </w:r>
      <w:r>
        <w:rPr>
          <w:rStyle w:val="9"/>
          <w:rFonts w:hint="eastAsia" w:ascii="仿宋_GB2312" w:hAnsi="仿宋_GB2312" w:eastAsia="仿宋_GB2312" w:cs="仿宋_GB2312"/>
          <w:b w:val="0"/>
          <w:bCs/>
          <w:color w:val="auto"/>
          <w:spacing w:val="24"/>
          <w:sz w:val="32"/>
          <w:szCs w:val="32"/>
        </w:rPr>
        <w:t>能力</w:t>
      </w:r>
      <w:r>
        <w:rPr>
          <w:rStyle w:val="9"/>
          <w:rFonts w:hint="eastAsia" w:ascii="仿宋_GB2312" w:hAnsi="仿宋_GB2312" w:eastAsia="仿宋_GB2312" w:cs="仿宋_GB2312"/>
          <w:b w:val="0"/>
          <w:bCs/>
          <w:color w:val="auto"/>
          <w:spacing w:val="24"/>
          <w:sz w:val="32"/>
          <w:szCs w:val="32"/>
          <w:lang w:eastAsia="zh-CN"/>
        </w:rPr>
        <w:t>不优</w:t>
      </w:r>
      <w:r>
        <w:rPr>
          <w:rStyle w:val="9"/>
          <w:rFonts w:hint="eastAsia" w:ascii="仿宋_GB2312" w:hAnsi="仿宋_GB2312" w:eastAsia="仿宋_GB2312" w:cs="仿宋_GB2312"/>
          <w:b w:val="0"/>
          <w:bCs/>
          <w:color w:val="auto"/>
          <w:spacing w:val="24"/>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（2）上年度问题在本年度的改进情况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 w:hAnsi="仿宋" w:eastAsia="仿宋" w:cs="仿宋"/>
          <w:color w:val="auto"/>
          <w:sz w:val="32"/>
          <w:szCs w:val="32"/>
          <w:lang w:val="en-US" w:eastAsia="zh-CN"/>
        </w:rPr>
        <w:t>1.</w:t>
      </w:r>
      <w:r>
        <w:rPr>
          <w:rFonts w:hint="eastAsia" w:ascii="仿宋_GB2312" w:hAnsi="仿宋_GB2312" w:eastAsia="仿宋_GB2312" w:cs="仿宋_GB2312"/>
          <w:color w:val="auto"/>
          <w:sz w:val="32"/>
          <w:szCs w:val="32"/>
        </w:rPr>
        <w:t>印发《关于进一步加强西塞山区政务工作的通知》等文件进一步理顺管理体系，组织全区各责任部门对各栏目进行大批次更新</w:t>
      </w:r>
      <w:r>
        <w:rPr>
          <w:rFonts w:hint="eastAsia" w:ascii="仿宋_GB2312" w:hAnsi="仿宋_GB2312" w:eastAsia="仿宋_GB2312" w:cs="仿宋_GB2312"/>
          <w:color w:val="auto"/>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2.强化对《政府信息公开条例》的学习理解，通过对省、市、区政府网站的横纵对比大幅提高对网站全方位建设标准的准确理解，从业务水平根本上提高队伍能力。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（3）本年度存在的问题</w:t>
      </w:r>
    </w:p>
    <w:p>
      <w:pPr>
        <w:pStyle w:val="2"/>
        <w:keepNext w:val="0"/>
        <w:keepLines w:val="0"/>
        <w:pageBreakBefore w:val="0"/>
        <w:numPr>
          <w:ilvl w:val="0"/>
          <w:numId w:val="0"/>
        </w:numPr>
        <w:kinsoku/>
        <w:wordWrap/>
        <w:overflowPunct/>
        <w:topLinePunct w:val="0"/>
        <w:autoSpaceDE/>
        <w:autoSpaceDN/>
        <w:bidi w:val="0"/>
        <w:adjustRightInd/>
        <w:snapToGrid/>
        <w:spacing w:after="0" w:afterLines="0"/>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专业技术人员缺乏。其他城区网站工作人员多属于数据、平台、技术服务人员，我局仅能调配一名文职人员对接网站工作，网站工作和指导水平有限。</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kern w:val="0"/>
          <w:sz w:val="32"/>
          <w:szCs w:val="32"/>
          <w:lang w:val="en-US" w:eastAsia="zh-CN" w:bidi="ar"/>
        </w:rPr>
        <w:t>运维支撑经费不足。网站专项资金为全市末位第一，仅能支撑网站基本安全维护，对于动态指标捕捉及功能设计优化、美化等成长性考核要求，区政数局难以施为。</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（4）下年度改进举措</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强化业务知识学习。根据工作实际，尽可能培养非专业人员的业务能力水平，强化与上级主管部门及技术公司的友好交流，正向合作与对接学习。</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优化政企合作模式。基于专项资金缺乏的现实，针对网站建设现实问题与技术公司探讨合作，尽可能拓展指导性服务内容。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六、其他需要报告的事项</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无</w:t>
      </w:r>
    </w:p>
    <w:p>
      <w:pPr>
        <w:pStyle w:val="2"/>
        <w:wordWrap w:val="0"/>
        <w:ind w:left="0" w:leftChars="0" w:firstLine="0" w:firstLineChars="0"/>
        <w:jc w:val="center"/>
        <w:rPr>
          <w:rFonts w:hint="default" w:ascii="仿宋" w:hAnsi="仿宋" w:eastAsia="仿宋" w:cs="仿宋"/>
          <w:color w:val="auto"/>
          <w:sz w:val="32"/>
          <w:szCs w:val="32"/>
          <w:lang w:val="en-US" w:eastAsia="zh-CN"/>
        </w:rPr>
      </w:pPr>
      <w:bookmarkStart w:id="0" w:name="_GoBack"/>
      <w:bookmarkEnd w:id="0"/>
    </w:p>
    <w:sectPr>
      <w:pgSz w:w="11906" w:h="16838"/>
      <w:pgMar w:top="1984" w:right="1531" w:bottom="215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54D3C3-6279-43BD-A66C-298EA681AF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5F458CC-DA6A-486E-86D3-A12F270F0193}"/>
  </w:font>
  <w:font w:name="方正小标宋_GBK">
    <w:panose1 w:val="02000000000000000000"/>
    <w:charset w:val="86"/>
    <w:family w:val="auto"/>
    <w:pitch w:val="default"/>
    <w:sig w:usb0="A00002BF" w:usb1="38CF7CFA" w:usb2="00082016" w:usb3="00000000" w:csb0="00040001" w:csb1="00000000"/>
    <w:embedRegular r:id="rId3" w:fontKey="{A1950965-DD01-42E1-B808-F8426B4BF145}"/>
  </w:font>
  <w:font w:name="仿宋">
    <w:panose1 w:val="02010609060101010101"/>
    <w:charset w:val="86"/>
    <w:family w:val="auto"/>
    <w:pitch w:val="default"/>
    <w:sig w:usb0="800002BF" w:usb1="38CF7CFA" w:usb2="00000016" w:usb3="00000000" w:csb0="00040001" w:csb1="00000000"/>
    <w:embedRegular r:id="rId4" w:fontKey="{7326A94B-951F-40CF-87E2-0371B8CA94D7}"/>
  </w:font>
  <w:font w:name="仿宋_GB2312">
    <w:panose1 w:val="02010609030101010101"/>
    <w:charset w:val="86"/>
    <w:family w:val="auto"/>
    <w:pitch w:val="default"/>
    <w:sig w:usb0="00000001" w:usb1="080E0000" w:usb2="00000000" w:usb3="00000000" w:csb0="00040000" w:csb1="00000000"/>
    <w:embedRegular r:id="rId5" w:fontKey="{D94647A3-774F-46B6-946F-E1A5B2BEF029}"/>
  </w:font>
  <w:font w:name="楷体">
    <w:panose1 w:val="02010609060101010101"/>
    <w:charset w:val="86"/>
    <w:family w:val="auto"/>
    <w:pitch w:val="default"/>
    <w:sig w:usb0="800002BF" w:usb1="38CF7CFA" w:usb2="00000016" w:usb3="00000000" w:csb0="00040001" w:csb1="00000000"/>
    <w:embedRegular r:id="rId6" w:fontKey="{EADC68F3-721E-4D3F-BBB9-FDE1F3600DD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YjIzNmRiNTVkYTFkZDBmNThmNGQ5ZGM1ZTkyMzcifQ=="/>
  </w:docVars>
  <w:rsids>
    <w:rsidRoot w:val="6D6A0137"/>
    <w:rsid w:val="11852B55"/>
    <w:rsid w:val="167C065E"/>
    <w:rsid w:val="1A2D32C8"/>
    <w:rsid w:val="3A2F759B"/>
    <w:rsid w:val="4BBF6AB5"/>
    <w:rsid w:val="531E2D4A"/>
    <w:rsid w:val="6D6A0137"/>
    <w:rsid w:val="757D7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rFonts w:ascii="Times New Roman" w:hAnsi="Times New Roman"/>
      <w:sz w:val="18"/>
      <w:szCs w:val="2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szCs w:val="22"/>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2224</Words>
  <Characters>2268</Characters>
  <Lines>0</Lines>
  <Paragraphs>0</Paragraphs>
  <TotalTime>0</TotalTime>
  <ScaleCrop>false</ScaleCrop>
  <LinksUpToDate>false</LinksUpToDate>
  <CharactersWithSpaces>2273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2023-01-16T07:04:00Z</dcterms:created>
  <dc:creator>温差</dc:creator>
  <cp:lastModifiedBy>温差</cp:lastModifiedBy>
  <dcterms:modified xsi:type="dcterms:W3CDTF">2023-04-28T09:53:40Z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3A79F8DB34BF40049A9927D938653E93</vt:lpwstr>
  </property>
</Properties>
</file>