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432" w:lineRule="auto"/>
        <w:jc w:val="center"/>
        <w:rPr>
          <w:rFonts w:hint="eastAsia" w:ascii="方正大标宋简体" w:hAnsi="方正大标宋简体" w:eastAsia="方正大标宋简体" w:cs="方正大标宋简体"/>
        </w:rPr>
      </w:pPr>
      <w:bookmarkStart w:id="0" w:name="_GoBack"/>
      <w:r>
        <w:rPr>
          <w:rFonts w:hint="eastAsia" w:ascii="方正大标宋简体" w:hAnsi="方正大标宋简体" w:eastAsia="方正大标宋简体" w:cs="方正大标宋简体"/>
          <w:b w:val="0"/>
          <w:bCs/>
          <w:color w:val="333333"/>
          <w:sz w:val="44"/>
          <w:szCs w:val="44"/>
        </w:rPr>
        <w:t>区住保局信息公开工作年度报告</w:t>
      </w:r>
      <w:bookmarkEnd w:id="0"/>
    </w:p>
    <w:p>
      <w:pPr>
        <w:pStyle w:val="4"/>
        <w:widowControl/>
        <w:spacing w:line="360" w:lineRule="auto"/>
        <w:ind w:firstLine="640" w:firstLineChars="200"/>
        <w:jc w:val="both"/>
        <w:rPr>
          <w:rFonts w:ascii="黑体" w:hAnsi="黑体" w:eastAsia="黑体" w:cs="黑体"/>
          <w:sz w:val="32"/>
          <w:szCs w:val="32"/>
        </w:rPr>
      </w:pPr>
      <w:r>
        <w:rPr>
          <w:rFonts w:hint="eastAsia" w:ascii="黑体" w:hAnsi="黑体" w:eastAsia="黑体" w:cs="黑体"/>
          <w:color w:val="333333"/>
          <w:sz w:val="32"/>
          <w:szCs w:val="32"/>
        </w:rPr>
        <w:t>一、总体情况</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年，区住保局入贯彻落实</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关于全面推进政务公开工作的系列部署，结合本单位实际，将政务公开的理念贯穿到全局的各项工作之中，大力推进决策公开、执行公开、管理公开、服务公开和结果公开，不断完善信息公开渠道，不断加大信息公开力度，</w:t>
      </w:r>
      <w:r>
        <w:rPr>
          <w:rFonts w:hint="eastAsia" w:ascii="仿宋_GB2312" w:hAnsi="仿宋_GB2312" w:eastAsia="仿宋_GB2312" w:cs="仿宋_GB2312"/>
          <w:kern w:val="0"/>
          <w:sz w:val="32"/>
          <w:szCs w:val="32"/>
          <w:shd w:val="clear" w:color="auto" w:fill="FFFFFF"/>
        </w:rPr>
        <w:t>持续做好</w:t>
      </w:r>
      <w:r>
        <w:rPr>
          <w:rFonts w:hint="eastAsia" w:ascii="仿宋_GB2312" w:hAnsi="宋体" w:eastAsia="仿宋_GB2312" w:cs="宋体"/>
          <w:kern w:val="0"/>
          <w:sz w:val="32"/>
          <w:szCs w:val="32"/>
          <w:shd w:val="clear" w:color="auto" w:fill="FFFFFF"/>
        </w:rPr>
        <w:t>依申请公开工作，</w:t>
      </w:r>
      <w:r>
        <w:rPr>
          <w:rFonts w:hint="eastAsia" w:ascii="仿宋_GB2312" w:hAnsi="仿宋_GB2312" w:eastAsia="仿宋_GB2312" w:cs="仿宋_GB2312"/>
          <w:kern w:val="0"/>
          <w:sz w:val="32"/>
          <w:szCs w:val="32"/>
          <w:shd w:val="clear" w:color="auto" w:fill="FFFFFF"/>
        </w:rPr>
        <w:t>对湖北省阳光信访网投诉举报处理情况等信息积极主动回应社会关切；对关系到群众切身利益的住房保障、危房监管、电梯增设、房屋征收等方面的事项及时有效进行了公开，进一步提高了工作透明度，有效地保障群众知情权，促进了政府公信力的提升。</w:t>
      </w:r>
    </w:p>
    <w:p>
      <w:pPr>
        <w:pStyle w:val="4"/>
        <w:widowControl/>
        <w:spacing w:line="360" w:lineRule="auto"/>
        <w:ind w:firstLine="640" w:firstLineChars="200"/>
        <w:jc w:val="both"/>
        <w:rPr>
          <w:rFonts w:ascii="黑体" w:hAnsi="黑体" w:eastAsia="黑体" w:cs="黑体"/>
          <w:color w:val="333333"/>
          <w:sz w:val="32"/>
          <w:szCs w:val="32"/>
        </w:rPr>
      </w:pPr>
      <w:r>
        <w:rPr>
          <w:rFonts w:hint="eastAsia" w:ascii="黑体" w:hAnsi="黑体" w:eastAsia="黑体" w:cs="黑体"/>
          <w:color w:val="333333"/>
          <w:sz w:val="32"/>
          <w:szCs w:val="32"/>
        </w:rPr>
        <w:t>二、主动公开政府信息情况</w:t>
      </w:r>
    </w:p>
    <w:tbl>
      <w:tblPr>
        <w:tblStyle w:val="5"/>
        <w:tblW w:w="5000" w:type="pct"/>
        <w:jc w:val="center"/>
        <w:tblLayout w:type="autofit"/>
        <w:tblCellMar>
          <w:top w:w="0" w:type="dxa"/>
          <w:left w:w="0" w:type="dxa"/>
          <w:bottom w:w="0" w:type="dxa"/>
          <w:right w:w="0" w:type="dxa"/>
        </w:tblCellMar>
      </w:tblPr>
      <w:tblGrid>
        <w:gridCol w:w="2105"/>
        <w:gridCol w:w="2105"/>
        <w:gridCol w:w="2105"/>
        <w:gridCol w:w="2105"/>
      </w:tblGrid>
      <w:tr>
        <w:tblPrEx>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第二十条第（一）项</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本年</w:t>
            </w:r>
            <w:r>
              <w:rPr>
                <w:rFonts w:hint="eastAsia" w:ascii="宋体" w:hAnsi="宋体" w:eastAsia="宋体" w:cs="宋体"/>
                <w:color w:val="333333"/>
                <w:kern w:val="0"/>
                <w:szCs w:val="21"/>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现行有效件</w:t>
            </w:r>
            <w:r>
              <w:rPr>
                <w:rFonts w:hint="eastAsia" w:ascii="宋体" w:hAnsi="宋体" w:eastAsia="宋体" w:cs="宋体"/>
                <w:color w:val="333333"/>
                <w:kern w:val="0"/>
                <w:szCs w:val="21"/>
              </w:rPr>
              <w:t>数</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30" w:lineRule="atLeast"/>
              <w:jc w:val="left"/>
              <w:rPr>
                <w:szCs w:val="21"/>
              </w:rPr>
            </w:pPr>
            <w:r>
              <w:rPr>
                <w:rFonts w:hint="eastAsia" w:ascii="宋体" w:hAnsi="宋体" w:eastAsia="宋体" w:cs="宋体"/>
                <w:color w:val="000000"/>
                <w:kern w:val="0"/>
                <w:szCs w:val="21"/>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Calibri" w:hAnsi="Calibri" w:eastAsia="宋体" w:cs="Calibri"/>
                <w:color w:val="333333"/>
                <w:szCs w:val="21"/>
              </w:rPr>
              <w:t>0</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30" w:lineRule="atLeast"/>
              <w:jc w:val="left"/>
              <w:rPr>
                <w:szCs w:val="21"/>
              </w:rPr>
            </w:pPr>
            <w:r>
              <w:rPr>
                <w:rFonts w:hint="eastAsia" w:ascii="宋体" w:hAnsi="宋体" w:eastAsia="宋体" w:cs="宋体"/>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Calibri" w:hAnsi="Calibri" w:eastAsia="宋体" w:cs="Calibri"/>
                <w:color w:val="333333"/>
                <w:szCs w:val="21"/>
              </w:rPr>
              <w:t>0</w:t>
            </w:r>
          </w:p>
        </w:tc>
      </w:tr>
      <w:tr>
        <w:tblPrEx>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第二十条第（五）项</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本年处理决定数量</w:t>
            </w:r>
          </w:p>
        </w:tc>
      </w:tr>
      <w:tr>
        <w:tblPrEx>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widowControl/>
              <w:spacing w:line="30" w:lineRule="atLeast"/>
              <w:jc w:val="left"/>
              <w:rPr>
                <w:szCs w:val="21"/>
              </w:rPr>
            </w:pPr>
            <w:r>
              <w:rPr>
                <w:rFonts w:hint="eastAsia" w:ascii="宋体" w:hAnsi="宋体" w:eastAsia="宋体" w:cs="宋体"/>
                <w:color w:val="000000"/>
                <w:kern w:val="0"/>
                <w:szCs w:val="21"/>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Calibri" w:hAnsi="Calibri" w:eastAsia="宋体" w:cs="Calibri"/>
                <w:color w:val="333333"/>
                <w:szCs w:val="21"/>
              </w:rPr>
              <w:t>0</w:t>
            </w:r>
          </w:p>
        </w:tc>
      </w:tr>
      <w:tr>
        <w:tblPrEx>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第二十条第（六）项</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本年处理决定数量</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30" w:lineRule="atLeast"/>
              <w:jc w:val="left"/>
              <w:rPr>
                <w:szCs w:val="21"/>
              </w:rPr>
            </w:pPr>
            <w:r>
              <w:rPr>
                <w:rFonts w:hint="eastAsia" w:ascii="宋体" w:hAnsi="宋体" w:eastAsia="宋体" w:cs="宋体"/>
                <w:color w:val="000000"/>
                <w:kern w:val="0"/>
                <w:szCs w:val="21"/>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0</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30" w:lineRule="atLeast"/>
              <w:jc w:val="left"/>
              <w:rPr>
                <w:szCs w:val="21"/>
              </w:rPr>
            </w:pPr>
            <w:r>
              <w:rPr>
                <w:rFonts w:hint="eastAsia" w:ascii="宋体" w:hAnsi="宋体" w:eastAsia="宋体" w:cs="宋体"/>
                <w:color w:val="000000"/>
                <w:kern w:val="0"/>
                <w:szCs w:val="21"/>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0</w:t>
            </w:r>
          </w:p>
        </w:tc>
      </w:tr>
      <w:tr>
        <w:tblPrEx>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第二十条第（八）项</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本年收费金额（单位：万元）</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30" w:lineRule="atLeast"/>
              <w:jc w:val="left"/>
              <w:rPr>
                <w:szCs w:val="21"/>
              </w:rPr>
            </w:pPr>
            <w:r>
              <w:rPr>
                <w:rFonts w:hint="eastAsia" w:ascii="宋体" w:hAnsi="宋体" w:eastAsia="宋体" w:cs="宋体"/>
                <w:color w:val="000000"/>
                <w:kern w:val="0"/>
                <w:szCs w:val="21"/>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ascii="宋体" w:hAnsi="宋体" w:eastAsia="宋体" w:cs="宋体"/>
                <w:color w:val="333333"/>
                <w:szCs w:val="21"/>
              </w:rPr>
            </w:pPr>
            <w:r>
              <w:rPr>
                <w:rFonts w:hint="eastAsia" w:ascii="宋体" w:hAnsi="宋体" w:eastAsia="宋体" w:cs="宋体"/>
                <w:color w:val="333333"/>
                <w:szCs w:val="21"/>
              </w:rPr>
              <w:t>0</w:t>
            </w:r>
          </w:p>
        </w:tc>
      </w:tr>
    </w:tbl>
    <w:p>
      <w:pPr>
        <w:widowControl/>
        <w:jc w:val="left"/>
      </w:pPr>
    </w:p>
    <w:p>
      <w:pPr>
        <w:pStyle w:val="4"/>
        <w:widowControl/>
        <w:spacing w:line="360" w:lineRule="auto"/>
        <w:ind w:firstLine="640" w:firstLineChars="200"/>
        <w:jc w:val="both"/>
        <w:rPr>
          <w:rFonts w:ascii="黑体" w:hAnsi="黑体" w:eastAsia="黑体" w:cs="黑体"/>
          <w:color w:val="333333"/>
          <w:sz w:val="32"/>
          <w:szCs w:val="32"/>
        </w:rPr>
      </w:pPr>
      <w:r>
        <w:rPr>
          <w:rFonts w:hint="eastAsia" w:ascii="黑体" w:hAnsi="黑体" w:eastAsia="黑体" w:cs="黑体"/>
          <w:color w:val="333333"/>
          <w:sz w:val="32"/>
          <w:szCs w:val="32"/>
        </w:rPr>
        <w:t>三、收到和处理政府信息公开申请情况</w:t>
      </w:r>
    </w:p>
    <w:tbl>
      <w:tblPr>
        <w:tblStyle w:val="5"/>
        <w:tblW w:w="496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57" w:type="dxa"/>
          <w:bottom w:w="0" w:type="dxa"/>
          <w:right w:w="57" w:type="dxa"/>
        </w:tblCellMar>
      </w:tblPr>
      <w:tblGrid>
        <w:gridCol w:w="647"/>
        <w:gridCol w:w="793"/>
        <w:gridCol w:w="2830"/>
        <w:gridCol w:w="591"/>
        <w:gridCol w:w="564"/>
        <w:gridCol w:w="618"/>
        <w:gridCol w:w="591"/>
        <w:gridCol w:w="591"/>
        <w:gridCol w:w="598"/>
        <w:gridCol w:w="59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widowControl/>
              <w:spacing w:line="30" w:lineRule="atLeast"/>
              <w:jc w:val="left"/>
            </w:pPr>
            <w:r>
              <w:rPr>
                <w:rFonts w:hint="eastAsia" w:ascii="楷体" w:hAnsi="楷体" w:eastAsia="楷体" w:cs="楷体"/>
                <w:color w:val="333333"/>
                <w:kern w:val="0"/>
                <w:sz w:val="24"/>
                <w:szCs w:val="24"/>
              </w:rPr>
              <w:t>（本列数据的勾稽关系为：第一项加第二项之和，等于第三项加第四项之和）</w:t>
            </w:r>
          </w:p>
        </w:tc>
        <w:tc>
          <w:tcPr>
            <w:tcW w:w="2462" w:type="pct"/>
            <w:gridSpan w:val="7"/>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ascii="宋体" w:hAnsi="宋体" w:eastAsia="宋体" w:cs="宋体"/>
                <w:color w:val="333333"/>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自然人</w:t>
            </w:r>
          </w:p>
        </w:tc>
        <w:tc>
          <w:tcPr>
            <w:tcW w:w="1759" w:type="pct"/>
            <w:gridSpan w:val="5"/>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ascii="宋体" w:hAnsi="宋体" w:eastAsia="宋体" w:cs="宋体"/>
                <w:color w:val="333333"/>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pPr>
              <w:jc w:val="left"/>
              <w:rPr>
                <w:rFonts w:ascii="宋体" w:hAnsi="宋体" w:eastAsia="宋体" w:cs="宋体"/>
                <w:color w:val="333333"/>
                <w:szCs w:val="21"/>
              </w:rPr>
            </w:pPr>
          </w:p>
        </w:tc>
        <w:tc>
          <w:tcPr>
            <w:tcW w:w="335"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商业</w:t>
            </w:r>
          </w:p>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企业</w:t>
            </w:r>
          </w:p>
        </w:tc>
        <w:tc>
          <w:tcPr>
            <w:tcW w:w="367"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科研</w:t>
            </w:r>
          </w:p>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法律服务机构</w:t>
            </w:r>
          </w:p>
        </w:tc>
        <w:tc>
          <w:tcPr>
            <w:tcW w:w="354" w:type="pct"/>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pPr>
              <w:jc w:val="left"/>
              <w:rPr>
                <w:rFonts w:ascii="宋体" w:hAnsi="宋体" w:eastAsia="宋体" w:cs="宋体"/>
                <w:color w:val="333333"/>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35"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67"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4"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35"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67"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4"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restart"/>
            <w:tcBorders>
              <w:top w:val="nil"/>
              <w:left w:val="single" w:color="auto" w:sz="8" w:space="0"/>
              <w:bottom w:val="outset" w:color="auto" w:sz="6"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三、本年度办理结果</w:t>
            </w:r>
          </w:p>
        </w:tc>
        <w:tc>
          <w:tcPr>
            <w:tcW w:w="2151" w:type="pct"/>
            <w:gridSpan w:val="2"/>
            <w:tcBorders>
              <w:top w:val="nil"/>
              <w:left w:val="nil"/>
              <w:bottom w:val="single" w:color="auto" w:sz="8"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（一）予以公开</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35"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67"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4"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single" w:color="auto" w:sz="8" w:space="0"/>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2151" w:type="pct"/>
            <w:gridSpan w:val="2"/>
            <w:tcBorders>
              <w:top w:val="nil"/>
              <w:left w:val="nil"/>
              <w:bottom w:val="single" w:color="auto" w:sz="8"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35"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67"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4"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（三）不予公开</w:t>
            </w:r>
          </w:p>
        </w:tc>
        <w:tc>
          <w:tcPr>
            <w:tcW w:w="1680" w:type="pct"/>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1.属于国家秘密</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35"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67"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4"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single" w:color="auto" w:sz="8" w:space="0"/>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0" w:type="pct"/>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2.其他法律行政法规禁止公开</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35"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67"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4"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0" w:type="pct"/>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3.危及“三安全一稳定”</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35"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67"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4"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0" w:type="pct"/>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4.保护第三方合法权益</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35"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67"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4"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0" w:type="pct"/>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5.属于三类内部事务信息</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35"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67"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4"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0" w:type="pct"/>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6.属于四类过程性信息</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35"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67"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4"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0" w:type="pct"/>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7.属于行政执法案卷</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35"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67"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4"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0" w:type="pct"/>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8.属于行政查询事项</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35"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67"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4"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（四）无法提供</w:t>
            </w:r>
          </w:p>
        </w:tc>
        <w:tc>
          <w:tcPr>
            <w:tcW w:w="1680" w:type="pct"/>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1.本机关不掌握相关政府信息</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35"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67"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4"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0" w:type="pct"/>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2.没有现成信息需要另行制作</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35"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67"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4"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0" w:type="pct"/>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3.补正后申请内容仍不明确</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35"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67"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4"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（五）不予处理</w:t>
            </w:r>
          </w:p>
        </w:tc>
        <w:tc>
          <w:tcPr>
            <w:tcW w:w="1680" w:type="pct"/>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1.信访举报投诉类申请</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35"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67"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4"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0" w:type="pct"/>
            <w:tcBorders>
              <w:top w:val="single" w:color="auto" w:sz="8" w:space="0"/>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2.重复申请</w:t>
            </w:r>
          </w:p>
        </w:tc>
        <w:tc>
          <w:tcPr>
            <w:tcW w:w="351" w:type="pct"/>
            <w:tcBorders>
              <w:top w:val="single" w:color="auto" w:sz="8" w:space="0"/>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35" w:type="pct"/>
            <w:tcBorders>
              <w:top w:val="single" w:color="auto" w:sz="8" w:space="0"/>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67" w:type="pct"/>
            <w:tcBorders>
              <w:top w:val="single" w:color="auto" w:sz="8" w:space="0"/>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single" w:color="auto" w:sz="8" w:space="0"/>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single" w:color="auto" w:sz="8" w:space="0"/>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4" w:type="pct"/>
            <w:tcBorders>
              <w:top w:val="single" w:color="auto" w:sz="8" w:space="0"/>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single" w:color="auto" w:sz="8" w:space="0"/>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0" w:type="pct"/>
            <w:tcBorders>
              <w:top w:val="single" w:color="auto" w:sz="8" w:space="0"/>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3.要求提供公开出版物</w:t>
            </w:r>
          </w:p>
        </w:tc>
        <w:tc>
          <w:tcPr>
            <w:tcW w:w="351" w:type="pct"/>
            <w:tcBorders>
              <w:top w:val="single" w:color="auto" w:sz="8" w:space="0"/>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35" w:type="pct"/>
            <w:tcBorders>
              <w:top w:val="single" w:color="auto" w:sz="8" w:space="0"/>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67" w:type="pct"/>
            <w:tcBorders>
              <w:top w:val="single" w:color="auto" w:sz="8" w:space="0"/>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single" w:color="auto" w:sz="8" w:space="0"/>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single" w:color="auto" w:sz="8" w:space="0"/>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4" w:type="pct"/>
            <w:tcBorders>
              <w:top w:val="single" w:color="auto" w:sz="8" w:space="0"/>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single" w:color="auto" w:sz="8" w:space="0"/>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0" w:type="pct"/>
            <w:tcBorders>
              <w:top w:val="single" w:color="auto" w:sz="8" w:space="0"/>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35" w:type="pct"/>
            <w:tcBorders>
              <w:top w:val="single" w:color="auto" w:sz="8" w:space="0"/>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67" w:type="pct"/>
            <w:tcBorders>
              <w:top w:val="single" w:color="auto" w:sz="8" w:space="0"/>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single" w:color="auto" w:sz="8" w:space="0"/>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single" w:color="auto" w:sz="8" w:space="0"/>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4" w:type="pct"/>
            <w:tcBorders>
              <w:top w:val="single" w:color="auto" w:sz="8" w:space="0"/>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single" w:color="auto" w:sz="8" w:space="0"/>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0" w:type="pct"/>
            <w:tcBorders>
              <w:top w:val="nil"/>
              <w:left w:val="nil"/>
              <w:bottom w:val="outset" w:color="auto" w:sz="6" w:space="0"/>
              <w:right w:val="single" w:color="auto" w:sz="8" w:space="0"/>
            </w:tcBorders>
            <w:shd w:val="clear" w:color="auto" w:fill="auto"/>
            <w:vAlign w:val="center"/>
          </w:tcPr>
          <w:p>
            <w:pPr>
              <w:widowControl/>
              <w:spacing w:line="30" w:lineRule="atLeast"/>
              <w:rPr>
                <w:rFonts w:asciiTheme="minorEastAsia" w:hAnsiTheme="minorEastAsia" w:cstheme="minorEastAsia"/>
                <w:szCs w:val="21"/>
              </w:rPr>
            </w:pPr>
            <w:r>
              <w:rPr>
                <w:rFonts w:hint="eastAsia" w:asciiTheme="minorEastAsia" w:hAnsiTheme="minorEastAsia" w:cstheme="minorEastAsia"/>
                <w:color w:val="333333"/>
                <w:kern w:val="0"/>
                <w:szCs w:val="21"/>
              </w:rPr>
              <w:t>5.要求行政机关确认或重新出具已获取信息</w:t>
            </w:r>
          </w:p>
        </w:tc>
        <w:tc>
          <w:tcPr>
            <w:tcW w:w="351" w:type="pct"/>
            <w:tcBorders>
              <w:top w:val="nil"/>
              <w:left w:val="nil"/>
              <w:bottom w:val="outset" w:color="auto" w:sz="6"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35" w:type="pct"/>
            <w:tcBorders>
              <w:top w:val="nil"/>
              <w:left w:val="nil"/>
              <w:bottom w:val="outset" w:color="auto" w:sz="6"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67" w:type="pct"/>
            <w:tcBorders>
              <w:top w:val="nil"/>
              <w:left w:val="nil"/>
              <w:bottom w:val="outset" w:color="auto" w:sz="6"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outset" w:color="auto" w:sz="6"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outset" w:color="auto" w:sz="6"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4" w:type="pct"/>
            <w:tcBorders>
              <w:top w:val="nil"/>
              <w:left w:val="nil"/>
              <w:bottom w:val="outset" w:color="auto" w:sz="6"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outset" w:color="auto" w:sz="6"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1" w:type="pct"/>
            <w:vMerge w:val="restart"/>
            <w:tcBorders>
              <w:top w:val="outset" w:color="auto" w:sz="6" w:space="0"/>
              <w:left w:val="nil"/>
              <w:bottom w:val="outset" w:color="auto" w:sz="6"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（六）其他处理</w:t>
            </w:r>
          </w:p>
        </w:tc>
        <w:tc>
          <w:tcPr>
            <w:tcW w:w="1680" w:type="pct"/>
            <w:tcBorders>
              <w:top w:val="nil"/>
              <w:left w:val="nil"/>
              <w:bottom w:val="single" w:color="auto" w:sz="8" w:space="0"/>
              <w:right w:val="single" w:color="auto" w:sz="8" w:space="0"/>
            </w:tcBorders>
            <w:shd w:val="clear" w:color="auto" w:fill="auto"/>
            <w:vAlign w:val="center"/>
          </w:tcPr>
          <w:p>
            <w:pPr>
              <w:widowControl/>
              <w:spacing w:line="30" w:lineRule="atLeast"/>
              <w:rPr>
                <w:rFonts w:asciiTheme="minorEastAsia" w:hAnsiTheme="minorEastAsia" w:cstheme="minorEastAsia"/>
                <w:szCs w:val="21"/>
              </w:rPr>
            </w:pPr>
            <w:r>
              <w:rPr>
                <w:rFonts w:hint="eastAsia" w:asciiTheme="minorEastAsia" w:hAnsiTheme="minorEastAsia" w:cstheme="minorEastAsia"/>
                <w:color w:val="333333"/>
                <w:kern w:val="0"/>
                <w:szCs w:val="21"/>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35"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67"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4"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0" w:type="pct"/>
            <w:tcBorders>
              <w:top w:val="nil"/>
              <w:left w:val="nil"/>
              <w:bottom w:val="single" w:color="auto" w:sz="8" w:space="0"/>
              <w:right w:val="single" w:color="auto" w:sz="8" w:space="0"/>
            </w:tcBorders>
            <w:shd w:val="clear" w:color="auto" w:fill="auto"/>
            <w:vAlign w:val="center"/>
          </w:tcPr>
          <w:p>
            <w:pPr>
              <w:widowControl/>
              <w:spacing w:line="30" w:lineRule="atLeast"/>
              <w:rPr>
                <w:rFonts w:asciiTheme="minorEastAsia" w:hAnsiTheme="minorEastAsia" w:cstheme="minorEastAsia"/>
                <w:szCs w:val="21"/>
              </w:rPr>
            </w:pPr>
            <w:r>
              <w:rPr>
                <w:rFonts w:hint="eastAsia" w:asciiTheme="minorEastAsia" w:hAnsiTheme="minorEastAsia" w:cstheme="minorEastAsia"/>
                <w:color w:val="333333"/>
                <w:kern w:val="0"/>
                <w:szCs w:val="21"/>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35"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67"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4"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0" w:type="pct"/>
            <w:tcBorders>
              <w:top w:val="nil"/>
              <w:left w:val="nil"/>
              <w:bottom w:val="single" w:color="auto" w:sz="8"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3.其他</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35"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67"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4"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2151" w:type="pct"/>
            <w:gridSpan w:val="2"/>
            <w:tcBorders>
              <w:top w:val="nil"/>
              <w:left w:val="nil"/>
              <w:bottom w:val="single" w:color="auto" w:sz="8"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（七）总计</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35"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67"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4"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35"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67"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4"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0</w:t>
            </w:r>
          </w:p>
        </w:tc>
        <w:tc>
          <w:tcPr>
            <w:tcW w:w="351" w:type="pct"/>
            <w:tcBorders>
              <w:top w:val="nil"/>
              <w:left w:val="nil"/>
              <w:bottom w:val="single" w:color="auto" w:sz="8" w:space="0"/>
              <w:right w:val="single" w:color="auto" w:sz="8" w:space="0"/>
            </w:tcBorders>
            <w:shd w:val="clear" w:color="auto" w:fill="auto"/>
          </w:tcPr>
          <w:p>
            <w:pPr>
              <w:jc w:val="center"/>
              <w:rPr>
                <w:rFonts w:ascii="宋体" w:hAnsi="宋体" w:eastAsia="宋体" w:cs="宋体"/>
                <w:color w:val="333333"/>
                <w:szCs w:val="21"/>
              </w:rPr>
            </w:pPr>
            <w:r>
              <w:rPr>
                <w:rFonts w:hint="eastAsia" w:ascii="宋体" w:hAnsi="宋体" w:eastAsia="宋体" w:cs="宋体"/>
                <w:color w:val="333333"/>
                <w:szCs w:val="21"/>
              </w:rPr>
              <w:t>0</w:t>
            </w:r>
          </w:p>
        </w:tc>
      </w:tr>
    </w:tbl>
    <w:p>
      <w:pPr>
        <w:widowControl/>
        <w:spacing w:line="432" w:lineRule="auto"/>
        <w:jc w:val="center"/>
        <w:rPr>
          <w:rFonts w:ascii="宋体" w:hAnsi="宋体" w:eastAsia="宋体" w:cs="宋体"/>
          <w:color w:val="333333"/>
          <w:sz w:val="24"/>
        </w:rPr>
      </w:pPr>
    </w:p>
    <w:p>
      <w:pPr>
        <w:widowControl/>
        <w:spacing w:line="432" w:lineRule="auto"/>
        <w:jc w:val="center"/>
        <w:rPr>
          <w:rFonts w:ascii="宋体" w:hAnsi="宋体" w:eastAsia="宋体" w:cs="宋体"/>
          <w:color w:val="333333"/>
          <w:sz w:val="24"/>
        </w:rPr>
      </w:pPr>
    </w:p>
    <w:p>
      <w:pPr>
        <w:pStyle w:val="4"/>
        <w:widowControl/>
        <w:spacing w:line="360" w:lineRule="auto"/>
        <w:ind w:firstLine="640" w:firstLineChars="200"/>
        <w:jc w:val="both"/>
        <w:rPr>
          <w:rFonts w:ascii="黑体" w:hAnsi="黑体" w:eastAsia="黑体" w:cs="黑体"/>
          <w:color w:val="333333"/>
          <w:sz w:val="32"/>
          <w:szCs w:val="32"/>
        </w:rPr>
      </w:pPr>
      <w:r>
        <w:rPr>
          <w:rFonts w:hint="eastAsia" w:ascii="黑体" w:hAnsi="黑体" w:eastAsia="黑体" w:cs="黑体"/>
          <w:color w:val="333333"/>
          <w:sz w:val="32"/>
          <w:szCs w:val="32"/>
        </w:rPr>
        <w:t>四、政府信息公开行政复议、行政诉讼情况</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565"/>
        <w:gridCol w:w="565"/>
        <w:gridCol w:w="565"/>
        <w:gridCol w:w="574"/>
        <w:gridCol w:w="566"/>
        <w:gridCol w:w="566"/>
        <w:gridCol w:w="568"/>
        <w:gridCol w:w="568"/>
        <w:gridCol w:w="573"/>
        <w:gridCol w:w="568"/>
        <w:gridCol w:w="568"/>
        <w:gridCol w:w="568"/>
        <w:gridCol w:w="568"/>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结果</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其他</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尚未</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333333"/>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333333"/>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333333"/>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333333"/>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333333"/>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结果</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结果</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其他</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尚未</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000000"/>
                <w:kern w:val="0"/>
                <w:sz w:val="20"/>
                <w:szCs w:val="20"/>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结果</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结果</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尚未</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ascii="黑体" w:hAnsi="宋体" w:eastAsia="黑体" w:cs="黑体"/>
                <w:color w:val="333333"/>
                <w:sz w:val="20"/>
                <w:szCs w:val="20"/>
              </w:rPr>
              <w:t> </w:t>
            </w:r>
            <w:r>
              <w:rPr>
                <w:rFonts w:hint="eastAsia" w:ascii="黑体" w:hAnsi="宋体" w:eastAsia="黑体" w:cs="黑体"/>
                <w:color w:val="333333"/>
                <w:sz w:val="20"/>
                <w:szCs w:val="20"/>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rPr>
              <w:t> 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rPr>
              <w:t> 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rPr>
              <w:t>0 </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rPr>
              <w:t> 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rPr>
              <w:t> 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rPr>
              <w:t> 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rPr>
              <w:t> 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rPr>
              <w:t>0 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rPr>
              <w:t>0 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rPr>
              <w:t> 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rPr>
              <w:t> 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rPr>
              <w:t>0 </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333333"/>
                <w:szCs w:val="21"/>
              </w:rPr>
            </w:pPr>
            <w:r>
              <w:rPr>
                <w:rFonts w:hint="eastAsia" w:ascii="宋体" w:hAnsi="宋体" w:eastAsia="宋体" w:cs="宋体"/>
                <w:color w:val="333333"/>
                <w:szCs w:val="21"/>
              </w:rPr>
              <w:t>0</w:t>
            </w:r>
          </w:p>
        </w:tc>
      </w:tr>
    </w:tbl>
    <w:p>
      <w:pPr>
        <w:widowControl/>
        <w:jc w:val="left"/>
      </w:pPr>
    </w:p>
    <w:p>
      <w:pPr>
        <w:pStyle w:val="4"/>
        <w:widowControl/>
        <w:spacing w:line="360" w:lineRule="auto"/>
        <w:ind w:firstLine="640" w:firstLineChars="200"/>
        <w:jc w:val="both"/>
        <w:rPr>
          <w:rFonts w:ascii="黑体" w:hAnsi="黑体" w:eastAsia="黑体" w:cs="黑体"/>
          <w:color w:val="333333"/>
          <w:sz w:val="32"/>
          <w:szCs w:val="32"/>
        </w:rPr>
      </w:pPr>
      <w:r>
        <w:rPr>
          <w:rFonts w:hint="eastAsia" w:ascii="黑体" w:hAnsi="黑体" w:eastAsia="黑体" w:cs="黑体"/>
          <w:color w:val="333333"/>
          <w:sz w:val="32"/>
          <w:szCs w:val="32"/>
        </w:rPr>
        <w:t>五、存在的主要问题及改进情况</w:t>
      </w:r>
    </w:p>
    <w:p>
      <w:pPr>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仿宋_GB2312" w:eastAsia="仿宋_GB2312" w:cs="仿宋_GB2312"/>
          <w:sz w:val="32"/>
          <w:szCs w:val="32"/>
        </w:rPr>
        <w:t>上年度存在的问题是信息发布质量不够高，对于政务公开信息要素把握不全面，不能完整、及时、准确公开信息；我局将进一步结合工</w:t>
      </w:r>
      <w:r>
        <w:rPr>
          <w:rFonts w:hint="eastAsia" w:ascii="仿宋_GB2312" w:hAnsi="宋体" w:eastAsia="仿宋_GB2312" w:cs="宋体"/>
          <w:sz w:val="32"/>
          <w:szCs w:val="32"/>
        </w:rPr>
        <w:t>作实际，加强政务公开工作培训，加强公开队伍素质培养，完善相关工作制度，加强政务公开工作制度建设。</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度有部分信息公开有时不够及时，下年度进一步加强政务公开能力建设，及时采取多种形式，及时公开涉及群众切身利益、需要社会广泛知晓的重大政策措施。加大网上公开力度，全面、规范做好政府信息公开工作。</w:t>
      </w:r>
    </w:p>
    <w:p>
      <w:pPr>
        <w:pStyle w:val="4"/>
        <w:widowControl/>
        <w:spacing w:line="360" w:lineRule="auto"/>
        <w:ind w:firstLine="640" w:firstLineChars="200"/>
        <w:jc w:val="both"/>
        <w:rPr>
          <w:rFonts w:ascii="黑体" w:hAnsi="黑体" w:eastAsia="黑体" w:cs="黑体"/>
          <w:color w:val="333333"/>
          <w:sz w:val="32"/>
          <w:szCs w:val="32"/>
        </w:rPr>
      </w:pPr>
      <w:r>
        <w:rPr>
          <w:rFonts w:hint="eastAsia" w:ascii="黑体" w:hAnsi="黑体" w:eastAsia="黑体" w:cs="黑体"/>
          <w:color w:val="333333"/>
          <w:sz w:val="32"/>
          <w:szCs w:val="32"/>
        </w:rPr>
        <w:t>六、其他需要报告的事项</w:t>
      </w:r>
    </w:p>
    <w:p>
      <w:pPr>
        <w:pStyle w:val="4"/>
        <w:widowControl/>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B1294C-07DE-42A4-BBE2-8DC9674B8E6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6239A61-17DE-435F-AFE7-35D3CE529F0C}"/>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A9AD47EB-2446-4961-ADB1-8FE1AABEB38A}"/>
  </w:font>
  <w:font w:name="楷体">
    <w:panose1 w:val="02010609060101010101"/>
    <w:charset w:val="86"/>
    <w:family w:val="modern"/>
    <w:pitch w:val="default"/>
    <w:sig w:usb0="800002BF" w:usb1="38CF7CFA" w:usb2="00000016" w:usb3="00000000" w:csb0="00040001" w:csb1="00000000"/>
    <w:embedRegular r:id="rId4" w:fontKey="{813135A1-4040-4B1E-A3A0-440D72C6DEEC}"/>
  </w:font>
  <w:font w:name="仿宋">
    <w:panose1 w:val="02010609060101010101"/>
    <w:charset w:val="86"/>
    <w:family w:val="modern"/>
    <w:pitch w:val="default"/>
    <w:sig w:usb0="800002BF" w:usb1="38CF7CFA" w:usb2="00000016" w:usb3="00000000" w:csb0="00040001" w:csb1="00000000"/>
    <w:embedRegular r:id="rId5" w:fontKey="{5380BCD7-691B-43CC-96E5-3C892D695DCE}"/>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OGIzYjk2ZDk5OWY1MmZkNzQ5ZTQ3ZTI5YjVkNmUifQ=="/>
  </w:docVars>
  <w:rsids>
    <w:rsidRoot w:val="238B1E27"/>
    <w:rsid w:val="00044B8D"/>
    <w:rsid w:val="00102481"/>
    <w:rsid w:val="001E0760"/>
    <w:rsid w:val="002656C7"/>
    <w:rsid w:val="0027461E"/>
    <w:rsid w:val="005766AC"/>
    <w:rsid w:val="00670818"/>
    <w:rsid w:val="0088496D"/>
    <w:rsid w:val="008D5ABB"/>
    <w:rsid w:val="009E331A"/>
    <w:rsid w:val="00B77CD4"/>
    <w:rsid w:val="00BA0ED0"/>
    <w:rsid w:val="00D57EB8"/>
    <w:rsid w:val="00E81BB8"/>
    <w:rsid w:val="00ED54E6"/>
    <w:rsid w:val="00F76FA1"/>
    <w:rsid w:val="00FA6446"/>
    <w:rsid w:val="238B1E27"/>
    <w:rsid w:val="246E2621"/>
    <w:rsid w:val="2EE44308"/>
    <w:rsid w:val="380214FF"/>
    <w:rsid w:val="397119C0"/>
    <w:rsid w:val="4D8B6D73"/>
    <w:rsid w:val="79FB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1378</Words>
  <Characters>1400</Characters>
  <Lines>3</Lines>
  <Paragraphs>3</Paragraphs>
  <TotalTime>391</TotalTime>
  <ScaleCrop>false</ScaleCrop>
  <LinksUpToDate>false</LinksUpToDate>
  <CharactersWithSpaces>1413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2021-12-21T15:19:00Z</dcterms:created>
  <dc:creator>WPS_1624785580</dc:creator>
  <cp:lastModifiedBy>一个很好听的名字</cp:lastModifiedBy>
  <cp:lastPrinted>2023-01-31T02:10:59Z</cp:lastPrinted>
  <dcterms:modified xsi:type="dcterms:W3CDTF">2023-01-31T02:19:36Z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60DF3C46E8F348F0B0C207958D3BAC26</vt:lpwstr>
  </property>
</Properties>
</file>